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5C7D7891"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686EA9">
              <w:rPr>
                <w:rFonts w:ascii="Times New Roman" w:hAnsi="Times New Roman"/>
                <w:sz w:val="26"/>
              </w:rPr>
              <w:t>3623</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388F6DD8" w:rsidR="00E10796" w:rsidRDefault="00E10796" w:rsidP="00CB3160">
            <w:pPr>
              <w:pStyle w:val="Heading3"/>
              <w:tabs>
                <w:tab w:val="left" w:pos="5327"/>
              </w:tabs>
            </w:pPr>
            <w:r w:rsidRPr="006E5251">
              <w:rPr>
                <w:sz w:val="26"/>
              </w:rPr>
              <w:t xml:space="preserve">Hà Nội, ngày </w:t>
            </w:r>
            <w:r w:rsidR="00686EA9">
              <w:rPr>
                <w:sz w:val="26"/>
              </w:rPr>
              <w:t>21</w:t>
            </w:r>
            <w:r w:rsidRPr="006E5251">
              <w:rPr>
                <w:sz w:val="26"/>
              </w:rPr>
              <w:t xml:space="preserve"> tháng </w:t>
            </w:r>
            <w:r w:rsidR="00686EA9">
              <w:rPr>
                <w:sz w:val="26"/>
              </w:rPr>
              <w:t>12</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2E5BAEA4"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613D28">
        <w:rPr>
          <w:rFonts w:ascii="Times New Roman" w:hAnsi="Times New Roman"/>
          <w:i/>
        </w:rPr>
        <w:t>Theo</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2C75EDBC"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0</w:t>
      </w:r>
      <w:r w:rsidR="003144FF">
        <w:rPr>
          <w:rFonts w:ascii="Times New Roman" w:hAnsi="Times New Roman"/>
          <w:spacing w:val="-2"/>
        </w:rPr>
        <w:t>3</w:t>
      </w:r>
      <w:r w:rsidR="00FA550E">
        <w:rPr>
          <w:rFonts w:ascii="Times New Roman" w:hAnsi="Times New Roman"/>
          <w:spacing w:val="-2"/>
        </w:rPr>
        <w:t xml:space="preserve">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2B969763"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D452AF">
              <w:rPr>
                <w:rFonts w:ascii="Times New Roman" w:hAnsi="Times New Roman"/>
                <w:sz w:val="22"/>
                <w:szCs w:val="22"/>
              </w:rPr>
              <w:t xml:space="preserve">, </w:t>
            </w:r>
            <w:r w:rsidR="00D452AF" w:rsidRPr="00ED1FB2">
              <w:rPr>
                <w:rFonts w:ascii="Times New Roman" w:hAnsi="Times New Roman"/>
                <w:sz w:val="14"/>
                <w:szCs w:val="14"/>
              </w:rPr>
              <w:t>NGN</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3BFC79E4" w:rsidR="00E10796" w:rsidRPr="006C31EE" w:rsidRDefault="003144FF" w:rsidP="006C31EE">
            <w:pPr>
              <w:pStyle w:val="Heading2"/>
              <w:spacing w:line="240" w:lineRule="auto"/>
              <w:rPr>
                <w:rFonts w:ascii="Times New Roman" w:hAnsi="Times New Roman"/>
              </w:rPr>
            </w:pPr>
            <w:r>
              <w:rPr>
                <w:rFonts w:ascii="Times New Roman" w:hAnsi="Times New Roman"/>
              </w:rPr>
              <w:t>Phạm Công Tạc</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50096063"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686EA9">
        <w:rPr>
          <w:rFonts w:ascii="Times New Roman" w:hAnsi="Times New Roman"/>
          <w:b w:val="0"/>
          <w:i/>
          <w:sz w:val="26"/>
          <w:szCs w:val="28"/>
          <w:lang w:val="nl-NL"/>
        </w:rPr>
        <w:t>3623</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686EA9">
        <w:rPr>
          <w:rFonts w:ascii="Times New Roman" w:hAnsi="Times New Roman"/>
          <w:b w:val="0"/>
          <w:i/>
          <w:sz w:val="26"/>
          <w:szCs w:val="28"/>
          <w:lang w:val="nl-NL"/>
        </w:rPr>
        <w:t>21</w:t>
      </w:r>
      <w:r w:rsidR="000C0DAD" w:rsidRPr="00EF02B3">
        <w:rPr>
          <w:rFonts w:ascii="Times New Roman" w:hAnsi="Times New Roman"/>
          <w:b w:val="0"/>
          <w:i/>
          <w:sz w:val="26"/>
          <w:szCs w:val="28"/>
          <w:lang w:val="nl-NL"/>
        </w:rPr>
        <w:t xml:space="preserve"> tháng </w:t>
      </w:r>
      <w:r w:rsidR="00686EA9">
        <w:rPr>
          <w:rFonts w:ascii="Times New Roman" w:hAnsi="Times New Roman"/>
          <w:b w:val="0"/>
          <w:i/>
          <w:sz w:val="26"/>
          <w:szCs w:val="28"/>
          <w:lang w:val="nl-NL"/>
        </w:rPr>
        <w:t>12</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8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1"/>
        <w:gridCol w:w="3148"/>
        <w:gridCol w:w="6349"/>
        <w:gridCol w:w="2191"/>
      </w:tblGrid>
      <w:tr w:rsidR="000C0DAD" w:rsidRPr="004C6704" w14:paraId="4EB4B595" w14:textId="77777777" w:rsidTr="0043004F">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551"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148"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349"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43004F" w:rsidRPr="007B7303" w14:paraId="3D894167" w14:textId="77777777" w:rsidTr="0043004F">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43004F" w:rsidRPr="00DB6C17" w:rsidRDefault="0043004F" w:rsidP="0043004F">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551" w:type="dxa"/>
            <w:tcBorders>
              <w:top w:val="single" w:sz="4" w:space="0" w:color="auto"/>
              <w:left w:val="single" w:sz="4" w:space="0" w:color="auto"/>
              <w:bottom w:val="single" w:sz="4" w:space="0" w:color="auto"/>
              <w:right w:val="single" w:sz="4" w:space="0" w:color="auto"/>
            </w:tcBorders>
          </w:tcPr>
          <w:p w14:paraId="6FE574DE" w14:textId="29FA2D81" w:rsidR="0043004F" w:rsidRPr="0043004F" w:rsidRDefault="0043004F" w:rsidP="0043004F">
            <w:pPr>
              <w:spacing w:before="60" w:after="60"/>
              <w:jc w:val="both"/>
              <w:rPr>
                <w:rFonts w:ascii="Times New Roman" w:hAnsi="Times New Roman"/>
                <w:sz w:val="26"/>
                <w:szCs w:val="26"/>
              </w:rPr>
            </w:pPr>
            <w:r w:rsidRPr="0043004F">
              <w:rPr>
                <w:rFonts w:ascii="Times New Roman" w:hAnsi="Times New Roman"/>
                <w:bCs/>
                <w:sz w:val="26"/>
                <w:szCs w:val="26"/>
              </w:rPr>
              <w:t>Nghiên cứu cơ chế, chính sách và giải pháp thúc đẩy ứng dụng, chuyển giao công nghệ đối với khu vực kinh tế tập thể, hợp tác xã nhằm nâng cao hiệu quả sản xuất kinh doanh theo chuỗi giá trị sản phẩm.</w:t>
            </w:r>
          </w:p>
        </w:tc>
        <w:tc>
          <w:tcPr>
            <w:tcW w:w="3148" w:type="dxa"/>
            <w:tcBorders>
              <w:top w:val="single" w:sz="4" w:space="0" w:color="auto"/>
              <w:left w:val="single" w:sz="4" w:space="0" w:color="auto"/>
              <w:bottom w:val="single" w:sz="4" w:space="0" w:color="auto"/>
              <w:right w:val="single" w:sz="4" w:space="0" w:color="auto"/>
            </w:tcBorders>
          </w:tcPr>
          <w:p w14:paraId="246221A8" w14:textId="795C6F90" w:rsidR="0043004F" w:rsidRPr="002771EB" w:rsidRDefault="0043004F" w:rsidP="002771EB">
            <w:pPr>
              <w:spacing w:before="60" w:after="60"/>
              <w:jc w:val="both"/>
              <w:rPr>
                <w:rFonts w:ascii="Times New Roman" w:hAnsi="Times New Roman"/>
                <w:bCs/>
                <w:sz w:val="26"/>
                <w:szCs w:val="26"/>
                <w:lang w:val="it-IT"/>
              </w:rPr>
            </w:pPr>
            <w:r w:rsidRPr="0043004F">
              <w:rPr>
                <w:rFonts w:ascii="Times New Roman" w:hAnsi="Times New Roman"/>
                <w:bCs/>
                <w:sz w:val="26"/>
                <w:szCs w:val="26"/>
                <w:lang w:val="it-IT"/>
              </w:rPr>
              <w:t xml:space="preserve">Đề xuất được cơ chế, chính sách và giải pháp </w:t>
            </w:r>
            <w:r w:rsidRPr="0043004F">
              <w:rPr>
                <w:rFonts w:ascii="Times New Roman" w:hAnsi="Times New Roman"/>
                <w:bCs/>
                <w:sz w:val="26"/>
                <w:szCs w:val="26"/>
              </w:rPr>
              <w:t>thúc đẩy ứng dụng, chuyển giao công nghệ đối với khu vực kinh tế tập thể, hợp tác xã theo chuỗi giá trị sản phẩm.</w:t>
            </w:r>
          </w:p>
        </w:tc>
        <w:tc>
          <w:tcPr>
            <w:tcW w:w="6349" w:type="dxa"/>
            <w:tcBorders>
              <w:top w:val="single" w:sz="4" w:space="0" w:color="auto"/>
              <w:left w:val="single" w:sz="4" w:space="0" w:color="auto"/>
              <w:bottom w:val="single" w:sz="4" w:space="0" w:color="auto"/>
              <w:right w:val="single" w:sz="4" w:space="0" w:color="auto"/>
            </w:tcBorders>
          </w:tcPr>
          <w:p w14:paraId="49413EB0" w14:textId="5AF8380A" w:rsidR="0043004F" w:rsidRPr="0043004F" w:rsidRDefault="0043004F" w:rsidP="0043004F">
            <w:pPr>
              <w:spacing w:before="60" w:after="60"/>
              <w:ind w:left="28" w:right="33" w:hanging="28"/>
              <w:jc w:val="both"/>
              <w:rPr>
                <w:rFonts w:ascii="Times New Roman" w:hAnsi="Times New Roman"/>
                <w:bCs/>
                <w:sz w:val="26"/>
                <w:szCs w:val="26"/>
                <w:lang w:val="it-IT"/>
              </w:rPr>
            </w:pPr>
            <w:r w:rsidRPr="0043004F">
              <w:rPr>
                <w:rFonts w:ascii="Times New Roman" w:hAnsi="Times New Roman"/>
                <w:bCs/>
                <w:sz w:val="26"/>
                <w:szCs w:val="26"/>
                <w:lang w:val="it-IT"/>
              </w:rPr>
              <w:t>-  Báo cáo đánh giá thực trạng và đề xuất hoàn thiện cơ chế, chính sách ưu tiên hỗ trợ, khuyến khích ứng dụng khoa học, kỹ thuật và công nghệ mới cho khu vực kinh tế tập thể, hợp tác xã</w:t>
            </w:r>
            <w:r>
              <w:rPr>
                <w:rFonts w:ascii="Times New Roman" w:hAnsi="Times New Roman"/>
                <w:bCs/>
                <w:sz w:val="26"/>
                <w:szCs w:val="26"/>
                <w:lang w:val="it-IT"/>
              </w:rPr>
              <w:t>.</w:t>
            </w:r>
          </w:p>
          <w:p w14:paraId="670EC266" w14:textId="07CFB4BC" w:rsidR="0043004F" w:rsidRPr="0043004F" w:rsidRDefault="0043004F" w:rsidP="0043004F">
            <w:pPr>
              <w:spacing w:before="60" w:after="60"/>
              <w:ind w:left="28" w:right="33" w:hanging="28"/>
              <w:jc w:val="both"/>
              <w:rPr>
                <w:rFonts w:ascii="Times New Roman" w:hAnsi="Times New Roman"/>
                <w:bCs/>
                <w:sz w:val="26"/>
                <w:szCs w:val="26"/>
                <w:lang w:val="it-IT"/>
              </w:rPr>
            </w:pPr>
            <w:r w:rsidRPr="0043004F">
              <w:rPr>
                <w:rFonts w:ascii="Times New Roman" w:hAnsi="Times New Roman"/>
                <w:bCs/>
                <w:sz w:val="26"/>
                <w:szCs w:val="26"/>
                <w:lang w:val="it-IT"/>
              </w:rPr>
              <w:t xml:space="preserve">- Báo cáo đề xuất các giải pháp </w:t>
            </w:r>
            <w:r w:rsidRPr="0043004F">
              <w:rPr>
                <w:rFonts w:ascii="Times New Roman" w:hAnsi="Times New Roman"/>
                <w:bCs/>
                <w:sz w:val="26"/>
                <w:szCs w:val="26"/>
              </w:rPr>
              <w:t>thúc đẩy ứng dụng,</w:t>
            </w:r>
            <w:r w:rsidRPr="0043004F">
              <w:rPr>
                <w:rFonts w:ascii="Times New Roman" w:hAnsi="Times New Roman"/>
                <w:bCs/>
                <w:sz w:val="26"/>
                <w:szCs w:val="26"/>
                <w:lang w:val="it-IT"/>
              </w:rPr>
              <w:t xml:space="preserve"> </w:t>
            </w:r>
            <w:r w:rsidRPr="0043004F">
              <w:rPr>
                <w:rFonts w:ascii="Times New Roman" w:hAnsi="Times New Roman"/>
                <w:bCs/>
                <w:sz w:val="26"/>
                <w:szCs w:val="26"/>
              </w:rPr>
              <w:t>chuyển giao công nghệ</w:t>
            </w:r>
            <w:r w:rsidRPr="0043004F">
              <w:rPr>
                <w:rFonts w:ascii="Times New Roman" w:hAnsi="Times New Roman"/>
                <w:bCs/>
                <w:sz w:val="26"/>
                <w:szCs w:val="26"/>
                <w:lang w:val="it-IT"/>
              </w:rPr>
              <w:t>, kỹ thuật vào sản xuất kinh doanh của khu vực kinh tế tập thể, hợp tác xã theo chuỗi giá trị sản phẩm</w:t>
            </w:r>
            <w:r>
              <w:rPr>
                <w:rFonts w:ascii="Times New Roman" w:hAnsi="Times New Roman"/>
                <w:bCs/>
                <w:sz w:val="26"/>
                <w:szCs w:val="26"/>
                <w:lang w:val="it-IT"/>
              </w:rPr>
              <w:t>.</w:t>
            </w:r>
          </w:p>
          <w:p w14:paraId="6C700B67" w14:textId="2078FCC8" w:rsidR="0043004F" w:rsidRPr="0043004F" w:rsidRDefault="0043004F" w:rsidP="0043004F">
            <w:pPr>
              <w:spacing w:before="60" w:after="60"/>
              <w:jc w:val="both"/>
              <w:rPr>
                <w:rFonts w:ascii="Times New Roman" w:hAnsi="Times New Roman"/>
                <w:sz w:val="26"/>
                <w:szCs w:val="26"/>
              </w:rPr>
            </w:pPr>
            <w:r w:rsidRPr="0043004F">
              <w:rPr>
                <w:rFonts w:ascii="Times New Roman" w:hAnsi="Times New Roman"/>
                <w:bCs/>
                <w:sz w:val="26"/>
                <w:szCs w:val="26"/>
                <w:lang w:val="it-IT"/>
              </w:rPr>
              <w:t>- 02 bài báo đăng trên các tạp chí chuyên ngành.</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43004F" w:rsidRPr="00DB6C17" w:rsidRDefault="0043004F" w:rsidP="0043004F">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DE6EE8" w:rsidRPr="007B7303" w14:paraId="605421B7" w14:textId="77777777" w:rsidTr="0043004F">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169E4F76" w:rsidR="00DE6EE8" w:rsidRPr="00DB6C17" w:rsidRDefault="00DE6EE8" w:rsidP="00DE6EE8">
            <w:pPr>
              <w:spacing w:before="60" w:after="60"/>
              <w:jc w:val="center"/>
              <w:rPr>
                <w:rFonts w:ascii="Times New Roman" w:hAnsi="Times New Roman"/>
                <w:sz w:val="26"/>
                <w:szCs w:val="26"/>
              </w:rPr>
            </w:pPr>
            <w:r>
              <w:rPr>
                <w:rFonts w:ascii="Times New Roman" w:hAnsi="Times New Roman"/>
                <w:sz w:val="26"/>
                <w:szCs w:val="26"/>
              </w:rPr>
              <w:t>2</w:t>
            </w:r>
          </w:p>
        </w:tc>
        <w:tc>
          <w:tcPr>
            <w:tcW w:w="2551" w:type="dxa"/>
            <w:tcBorders>
              <w:top w:val="single" w:sz="4" w:space="0" w:color="auto"/>
              <w:left w:val="single" w:sz="4" w:space="0" w:color="auto"/>
              <w:bottom w:val="single" w:sz="4" w:space="0" w:color="auto"/>
              <w:right w:val="single" w:sz="4" w:space="0" w:color="auto"/>
            </w:tcBorders>
          </w:tcPr>
          <w:p w14:paraId="40F7674B" w14:textId="211F37DB" w:rsidR="00DE6EE8" w:rsidRPr="009D1124" w:rsidRDefault="00DE6EE8" w:rsidP="00DE6EE8">
            <w:pPr>
              <w:spacing w:before="60" w:after="60"/>
              <w:jc w:val="both"/>
              <w:rPr>
                <w:rFonts w:ascii="Times New Roman" w:hAnsi="Times New Roman"/>
                <w:sz w:val="26"/>
                <w:szCs w:val="26"/>
              </w:rPr>
            </w:pPr>
            <w:r w:rsidRPr="0085007F">
              <w:rPr>
                <w:rFonts w:ascii="Times New Roman" w:hAnsi="Times New Roman"/>
                <w:bCs/>
                <w:sz w:val="26"/>
                <w:szCs w:val="26"/>
              </w:rPr>
              <w:t>Nghiên cứu công nghệ chế biến nước quả vị mặn và xây dựng mô hình liên kết sản xuất theo chuỗi giá trị sản phẩm cây ăn quả vùng núi Tây Bắc</w:t>
            </w:r>
            <w:r w:rsidR="009E47D9">
              <w:rPr>
                <w:rFonts w:ascii="Times New Roman" w:hAnsi="Times New Roman"/>
                <w:bCs/>
                <w:sz w:val="26"/>
                <w:szCs w:val="26"/>
              </w:rPr>
              <w:t>.</w:t>
            </w:r>
          </w:p>
        </w:tc>
        <w:tc>
          <w:tcPr>
            <w:tcW w:w="3148" w:type="dxa"/>
            <w:tcBorders>
              <w:top w:val="single" w:sz="4" w:space="0" w:color="auto"/>
              <w:left w:val="single" w:sz="4" w:space="0" w:color="auto"/>
              <w:bottom w:val="single" w:sz="4" w:space="0" w:color="auto"/>
              <w:right w:val="single" w:sz="4" w:space="0" w:color="auto"/>
            </w:tcBorders>
          </w:tcPr>
          <w:p w14:paraId="7136D0F6" w14:textId="77777777" w:rsidR="00DE6EE8" w:rsidRPr="0085007F" w:rsidRDefault="00DE6EE8" w:rsidP="00DE6EE8">
            <w:pPr>
              <w:spacing w:before="60" w:after="60"/>
              <w:jc w:val="both"/>
              <w:rPr>
                <w:rFonts w:ascii="Times New Roman" w:hAnsi="Times New Roman"/>
                <w:bCs/>
                <w:sz w:val="26"/>
                <w:szCs w:val="26"/>
                <w:lang w:val="it-IT"/>
              </w:rPr>
            </w:pPr>
            <w:r w:rsidRPr="0085007F">
              <w:rPr>
                <w:rFonts w:ascii="Times New Roman" w:hAnsi="Times New Roman"/>
                <w:bCs/>
                <w:sz w:val="26"/>
                <w:szCs w:val="26"/>
                <w:lang w:val="it-IT"/>
              </w:rPr>
              <w:t>-  Làm chủ công nghệ và xây dựng được dây chuyền chế biến nước quả vị mặn từ quả mơ, mận, táo mèo.</w:t>
            </w:r>
          </w:p>
          <w:p w14:paraId="5EFB6853" w14:textId="407DCD4A" w:rsidR="00DE6EE8" w:rsidRPr="0085007F" w:rsidRDefault="00DE6EE8" w:rsidP="00DE6EE8">
            <w:pPr>
              <w:spacing w:before="60" w:after="60"/>
              <w:jc w:val="both"/>
              <w:rPr>
                <w:rFonts w:ascii="Times New Roman" w:hAnsi="Times New Roman"/>
                <w:bCs/>
                <w:sz w:val="26"/>
                <w:szCs w:val="26"/>
              </w:rPr>
            </w:pPr>
            <w:r w:rsidRPr="0085007F">
              <w:rPr>
                <w:rFonts w:ascii="Times New Roman" w:hAnsi="Times New Roman"/>
                <w:bCs/>
                <w:sz w:val="26"/>
                <w:szCs w:val="26"/>
                <w:lang w:val="it-IT"/>
              </w:rPr>
              <w:t xml:space="preserve">- Xây dựng được mô hình hợp tác xã liên kết </w:t>
            </w:r>
            <w:r w:rsidRPr="0085007F">
              <w:rPr>
                <w:rFonts w:ascii="Times New Roman" w:hAnsi="Times New Roman"/>
                <w:bCs/>
                <w:sz w:val="26"/>
                <w:szCs w:val="26"/>
              </w:rPr>
              <w:t>theo chuỗi giá trị sản phẩm cây mơ, mận, táo mèo vùng núi Tây Bắc</w:t>
            </w:r>
            <w:r w:rsidR="009E47D9">
              <w:rPr>
                <w:rFonts w:ascii="Times New Roman" w:hAnsi="Times New Roman"/>
                <w:bCs/>
                <w:sz w:val="26"/>
                <w:szCs w:val="26"/>
              </w:rPr>
              <w:t>.</w:t>
            </w:r>
          </w:p>
          <w:p w14:paraId="6E426EC0" w14:textId="29E54055" w:rsidR="00DE6EE8" w:rsidRPr="009D1124" w:rsidRDefault="00DE6EE8" w:rsidP="00DE6EE8">
            <w:pPr>
              <w:spacing w:before="60" w:after="60"/>
              <w:jc w:val="both"/>
              <w:rPr>
                <w:rFonts w:ascii="Times New Roman" w:hAnsi="Times New Roman"/>
                <w:sz w:val="26"/>
                <w:szCs w:val="26"/>
              </w:rPr>
            </w:pPr>
          </w:p>
        </w:tc>
        <w:tc>
          <w:tcPr>
            <w:tcW w:w="6349" w:type="dxa"/>
            <w:tcBorders>
              <w:top w:val="single" w:sz="4" w:space="0" w:color="auto"/>
              <w:left w:val="single" w:sz="4" w:space="0" w:color="auto"/>
              <w:bottom w:val="single" w:sz="4" w:space="0" w:color="auto"/>
              <w:right w:val="single" w:sz="4" w:space="0" w:color="auto"/>
            </w:tcBorders>
          </w:tcPr>
          <w:p w14:paraId="6DDE14D6" w14:textId="77777777"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- 03 quy trình công nghệ chế biến nước quả vị mặn từ quả mơ, mận, táo mèo.</w:t>
            </w:r>
          </w:p>
          <w:p w14:paraId="7BD24A07" w14:textId="2B7D8940"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xml:space="preserve">- 01 bộ hồ sơ tính toán thiết kế, lựa chọn, lắp đặt, hướng dẫn vận hành dây chuyền thiết bị sơ chế, </w:t>
            </w:r>
            <w:r w:rsidR="009C51B5" w:rsidRPr="009C51B5">
              <w:rPr>
                <w:rFonts w:ascii="Times New Roman" w:hAnsi="Times New Roman"/>
                <w:bCs/>
                <w:sz w:val="26"/>
                <w:szCs w:val="26"/>
                <w:lang w:val="it-IT"/>
              </w:rPr>
              <w:t>chế biến</w:t>
            </w:r>
            <w:r w:rsidRPr="009E47D9">
              <w:rPr>
                <w:rFonts w:ascii="Times New Roman" w:hAnsi="Times New Roman"/>
                <w:bCs/>
                <w:sz w:val="26"/>
                <w:szCs w:val="26"/>
                <w:lang w:val="it-IT"/>
              </w:rPr>
              <w:t xml:space="preserve"> nước quả vị mặn công suất 01 tấn quả/ngày.</w:t>
            </w:r>
          </w:p>
          <w:p w14:paraId="4D6EEB26" w14:textId="1853D32E"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xml:space="preserve">- 01 dây chuyền thiết bị sơ chế, </w:t>
            </w:r>
            <w:r w:rsidRPr="009C51B5">
              <w:rPr>
                <w:rFonts w:ascii="Times New Roman" w:hAnsi="Times New Roman"/>
                <w:bCs/>
                <w:sz w:val="26"/>
                <w:szCs w:val="26"/>
                <w:lang w:val="it-IT"/>
              </w:rPr>
              <w:t>chế biến</w:t>
            </w:r>
            <w:r w:rsidRPr="009E47D9">
              <w:rPr>
                <w:rFonts w:ascii="Times New Roman" w:hAnsi="Times New Roman"/>
                <w:bCs/>
                <w:sz w:val="26"/>
                <w:szCs w:val="26"/>
                <w:lang w:val="it-IT"/>
              </w:rPr>
              <w:t xml:space="preserve"> nước quả vị mặn công suất </w:t>
            </w:r>
            <w:r w:rsidR="00D5296E">
              <w:rPr>
                <w:rFonts w:ascii="Times New Roman" w:hAnsi="Times New Roman"/>
                <w:bCs/>
                <w:sz w:val="26"/>
                <w:szCs w:val="26"/>
                <w:lang w:val="it-IT"/>
              </w:rPr>
              <w:t>0</w:t>
            </w:r>
            <w:r w:rsidRPr="009E47D9">
              <w:rPr>
                <w:rFonts w:ascii="Times New Roman" w:hAnsi="Times New Roman"/>
                <w:bCs/>
                <w:sz w:val="26"/>
                <w:szCs w:val="26"/>
                <w:lang w:val="it-IT"/>
              </w:rPr>
              <w:t>1 tấn quả/ngày.</w:t>
            </w:r>
          </w:p>
          <w:p w14:paraId="333FED58" w14:textId="77777777"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- 01 mô hình hợp tác xã liên kết từ trồng trọt, sơ chế, chế biến nước quả vị mặn (cây mơ, mận, táo mèo) tại vùng núi Tây Bắc quy mô 200 tấn quả/năm.</w:t>
            </w:r>
          </w:p>
          <w:p w14:paraId="368108F5" w14:textId="77777777"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- 15.000 lít nước quả vị mặn (quả mơ, mận, táo mèo): hàm lượng Natri ≥ 30 mg%; đáp ứng QCVN 6-2:2010/BYT về sản phẩm đồ uống không cồn.</w:t>
            </w:r>
          </w:p>
          <w:p w14:paraId="0F417D7E" w14:textId="77777777"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- 03 bộ tiêu chuẩn cơ sở cho các sản phẩm nước quả vị mặn.</w:t>
            </w:r>
          </w:p>
          <w:p w14:paraId="5E78001F" w14:textId="0865DF54"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lastRenderedPageBreak/>
              <w:t xml:space="preserve">- 02 bài báo </w:t>
            </w:r>
            <w:r w:rsidR="00CB1B37">
              <w:rPr>
                <w:rFonts w:ascii="Times New Roman" w:hAnsi="Times New Roman"/>
                <w:bCs/>
                <w:sz w:val="26"/>
                <w:szCs w:val="26"/>
                <w:lang w:val="it-IT"/>
              </w:rPr>
              <w:t xml:space="preserve">được đăng </w:t>
            </w:r>
            <w:r w:rsidRPr="009E47D9">
              <w:rPr>
                <w:rFonts w:ascii="Times New Roman" w:hAnsi="Times New Roman"/>
                <w:bCs/>
                <w:sz w:val="26"/>
                <w:szCs w:val="26"/>
                <w:lang w:val="it-IT"/>
              </w:rPr>
              <w:t>trên các tạp chí chuyên ngành.</w:t>
            </w:r>
          </w:p>
          <w:p w14:paraId="059FB909" w14:textId="3CA98BB0" w:rsidR="00DE6EE8" w:rsidRPr="009E47D9" w:rsidRDefault="00DE6EE8" w:rsidP="009E47D9">
            <w:pPr>
              <w:spacing w:before="60" w:after="60"/>
              <w:ind w:left="28" w:right="33" w:hanging="28"/>
              <w:jc w:val="both"/>
              <w:rPr>
                <w:rFonts w:ascii="Times New Roman" w:hAnsi="Times New Roman"/>
                <w:bCs/>
                <w:sz w:val="26"/>
                <w:szCs w:val="26"/>
                <w:lang w:val="it-IT"/>
              </w:rPr>
            </w:pPr>
            <w:r w:rsidRPr="009E47D9">
              <w:rPr>
                <w:rFonts w:ascii="Times New Roman" w:hAnsi="Times New Roman"/>
                <w:bCs/>
                <w:sz w:val="26"/>
                <w:szCs w:val="26"/>
                <w:lang w:val="it-IT"/>
              </w:rPr>
              <w:t>- Tham gia đào tạo 01 thạc sỹ.</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DE6EE8" w:rsidRPr="00DB6C17" w:rsidRDefault="00DE6EE8" w:rsidP="00DE6EE8">
            <w:pPr>
              <w:spacing w:before="60" w:after="60"/>
              <w:jc w:val="center"/>
              <w:rPr>
                <w:rFonts w:ascii="Times New Roman" w:hAnsi="Times New Roman"/>
                <w:sz w:val="26"/>
                <w:szCs w:val="26"/>
              </w:rPr>
            </w:pPr>
            <w:r w:rsidRPr="00DB6C17">
              <w:rPr>
                <w:rFonts w:ascii="Times New Roman" w:hAnsi="Times New Roman"/>
                <w:sz w:val="26"/>
                <w:szCs w:val="26"/>
              </w:rPr>
              <w:lastRenderedPageBreak/>
              <w:t>Tuyển chọn</w:t>
            </w:r>
          </w:p>
        </w:tc>
      </w:tr>
      <w:tr w:rsidR="00DE6EE8" w:rsidRPr="007B7303" w14:paraId="056A9EC5" w14:textId="77777777" w:rsidTr="0043004F">
        <w:trPr>
          <w:trHeight w:val="413"/>
        </w:trPr>
        <w:tc>
          <w:tcPr>
            <w:tcW w:w="568" w:type="dxa"/>
            <w:tcBorders>
              <w:top w:val="single" w:sz="4" w:space="0" w:color="auto"/>
              <w:left w:val="single" w:sz="4" w:space="0" w:color="auto"/>
              <w:bottom w:val="single" w:sz="4" w:space="0" w:color="auto"/>
              <w:right w:val="single" w:sz="4" w:space="0" w:color="auto"/>
            </w:tcBorders>
          </w:tcPr>
          <w:p w14:paraId="2DE103F5" w14:textId="6659A70F" w:rsidR="00DE6EE8" w:rsidRDefault="00DE6EE8" w:rsidP="00DE6EE8">
            <w:pPr>
              <w:spacing w:before="60" w:after="60"/>
              <w:jc w:val="center"/>
              <w:rPr>
                <w:rFonts w:ascii="Times New Roman" w:hAnsi="Times New Roman"/>
                <w:sz w:val="26"/>
                <w:szCs w:val="26"/>
              </w:rPr>
            </w:pPr>
            <w:r>
              <w:rPr>
                <w:rFonts w:ascii="Times New Roman" w:hAnsi="Times New Roman"/>
                <w:sz w:val="26"/>
                <w:szCs w:val="26"/>
              </w:rPr>
              <w:t>3</w:t>
            </w:r>
          </w:p>
        </w:tc>
        <w:tc>
          <w:tcPr>
            <w:tcW w:w="2551" w:type="dxa"/>
            <w:tcBorders>
              <w:top w:val="single" w:sz="4" w:space="0" w:color="auto"/>
              <w:left w:val="single" w:sz="4" w:space="0" w:color="auto"/>
              <w:bottom w:val="single" w:sz="4" w:space="0" w:color="auto"/>
              <w:right w:val="single" w:sz="4" w:space="0" w:color="auto"/>
            </w:tcBorders>
          </w:tcPr>
          <w:p w14:paraId="2C61988F" w14:textId="64820B6B" w:rsidR="00DE6EE8" w:rsidRPr="009D1124" w:rsidRDefault="00DE6EE8" w:rsidP="00DE6EE8">
            <w:pPr>
              <w:spacing w:before="60" w:after="60"/>
              <w:jc w:val="both"/>
              <w:rPr>
                <w:rFonts w:ascii="Times New Roman" w:hAnsi="Times New Roman"/>
                <w:sz w:val="26"/>
                <w:szCs w:val="26"/>
              </w:rPr>
            </w:pPr>
            <w:r w:rsidRPr="0085007F">
              <w:rPr>
                <w:rFonts w:ascii="Times New Roman" w:eastAsia="Malgun Gothic" w:hAnsi="Times New Roman"/>
                <w:sz w:val="26"/>
                <w:szCs w:val="26"/>
              </w:rPr>
              <w:t xml:space="preserve">Hoàn thiện công nghệ </w:t>
            </w:r>
            <w:r w:rsidRPr="002A4691">
              <w:rPr>
                <w:rFonts w:ascii="Times New Roman" w:eastAsia="Malgun Gothic" w:hAnsi="Times New Roman"/>
                <w:sz w:val="26"/>
                <w:szCs w:val="26"/>
              </w:rPr>
              <w:t xml:space="preserve">chế biến và xây dựng mô hình hợp </w:t>
            </w:r>
            <w:r w:rsidRPr="0085007F">
              <w:rPr>
                <w:rFonts w:ascii="Times New Roman" w:eastAsia="Malgun Gothic" w:hAnsi="Times New Roman"/>
                <w:sz w:val="26"/>
                <w:szCs w:val="26"/>
              </w:rPr>
              <w:t>tác xã kiểu mới liên kết chuỗi giá trị sản phẩm miến dong riềng ở một số tỉnh miền núi phía Bắc</w:t>
            </w:r>
            <w:r w:rsidR="00D323F7">
              <w:rPr>
                <w:rFonts w:ascii="Times New Roman" w:eastAsia="Malgun Gothic" w:hAnsi="Times New Roman"/>
                <w:sz w:val="26"/>
                <w:szCs w:val="26"/>
              </w:rPr>
              <w:t>.</w:t>
            </w:r>
          </w:p>
        </w:tc>
        <w:tc>
          <w:tcPr>
            <w:tcW w:w="3148" w:type="dxa"/>
            <w:tcBorders>
              <w:top w:val="single" w:sz="4" w:space="0" w:color="auto"/>
              <w:left w:val="single" w:sz="4" w:space="0" w:color="auto"/>
              <w:bottom w:val="single" w:sz="4" w:space="0" w:color="auto"/>
              <w:right w:val="single" w:sz="4" w:space="0" w:color="auto"/>
            </w:tcBorders>
          </w:tcPr>
          <w:p w14:paraId="4E5B07EB" w14:textId="77777777" w:rsidR="00DE6EE8" w:rsidRPr="0085007F" w:rsidRDefault="00DE6EE8" w:rsidP="009E47D9">
            <w:pPr>
              <w:tabs>
                <w:tab w:val="left" w:pos="2873"/>
              </w:tabs>
              <w:spacing w:before="60" w:after="60"/>
              <w:ind w:firstLine="28"/>
              <w:jc w:val="both"/>
              <w:rPr>
                <w:rFonts w:ascii="Times New Roman" w:hAnsi="Times New Roman"/>
                <w:bCs/>
                <w:sz w:val="26"/>
                <w:szCs w:val="26"/>
                <w:lang w:val="it-IT"/>
              </w:rPr>
            </w:pPr>
            <w:r w:rsidRPr="0085007F">
              <w:rPr>
                <w:rFonts w:ascii="Times New Roman" w:hAnsi="Times New Roman"/>
                <w:bCs/>
                <w:sz w:val="26"/>
                <w:szCs w:val="26"/>
                <w:lang w:val="it-IT"/>
              </w:rPr>
              <w:t xml:space="preserve">- Hoàn thiện được kỹ thuật canh tác, công nghệ bảo quản và </w:t>
            </w:r>
            <w:r w:rsidRPr="00873953">
              <w:rPr>
                <w:rFonts w:ascii="Times New Roman" w:hAnsi="Times New Roman"/>
                <w:bCs/>
                <w:sz w:val="26"/>
                <w:szCs w:val="26"/>
                <w:lang w:val="it-IT"/>
              </w:rPr>
              <w:t>chế biến miến dong riềng</w:t>
            </w:r>
            <w:r w:rsidRPr="0085007F">
              <w:rPr>
                <w:rFonts w:ascii="Times New Roman" w:hAnsi="Times New Roman"/>
                <w:bCs/>
                <w:sz w:val="26"/>
                <w:szCs w:val="26"/>
                <w:lang w:val="it-IT"/>
              </w:rPr>
              <w:t xml:space="preserve"> phù hợp với mô hình hợp tác xã.</w:t>
            </w:r>
          </w:p>
          <w:p w14:paraId="37267586" w14:textId="154BA92D" w:rsidR="00DE6EE8" w:rsidRPr="009D1124" w:rsidRDefault="00DE6EE8" w:rsidP="009E47D9">
            <w:pPr>
              <w:tabs>
                <w:tab w:val="left" w:pos="2873"/>
              </w:tabs>
              <w:spacing w:before="60" w:after="60"/>
              <w:ind w:firstLine="28"/>
              <w:jc w:val="both"/>
              <w:rPr>
                <w:rFonts w:ascii="Times New Roman" w:hAnsi="Times New Roman"/>
                <w:sz w:val="26"/>
                <w:szCs w:val="26"/>
              </w:rPr>
            </w:pPr>
            <w:r w:rsidRPr="0085007F">
              <w:rPr>
                <w:rFonts w:ascii="Times New Roman" w:hAnsi="Times New Roman"/>
                <w:bCs/>
                <w:sz w:val="26"/>
                <w:szCs w:val="26"/>
                <w:lang w:val="it-IT"/>
              </w:rPr>
              <w:t>- Xây dựng mô hình hợp tác xã kiểu mới liên kết theo chuỗi giá trị sản phẩm miến dong riềng</w:t>
            </w:r>
            <w:r>
              <w:rPr>
                <w:rFonts w:ascii="Times New Roman" w:hAnsi="Times New Roman"/>
                <w:bCs/>
                <w:sz w:val="26"/>
                <w:szCs w:val="26"/>
                <w:lang w:val="it-IT"/>
              </w:rPr>
              <w:t xml:space="preserve"> </w:t>
            </w:r>
            <w:r w:rsidRPr="0085007F">
              <w:rPr>
                <w:rFonts w:ascii="Times New Roman" w:eastAsia="Malgun Gothic" w:hAnsi="Times New Roman"/>
                <w:sz w:val="26"/>
                <w:szCs w:val="26"/>
              </w:rPr>
              <w:t>ở một số tỉnh miền núi phía Bắc</w:t>
            </w:r>
            <w:r w:rsidRPr="0085007F">
              <w:rPr>
                <w:rFonts w:ascii="Times New Roman" w:hAnsi="Times New Roman"/>
                <w:bCs/>
                <w:sz w:val="26"/>
                <w:szCs w:val="26"/>
                <w:lang w:val="it-IT"/>
              </w:rPr>
              <w:t>.</w:t>
            </w:r>
          </w:p>
        </w:tc>
        <w:tc>
          <w:tcPr>
            <w:tcW w:w="6349" w:type="dxa"/>
            <w:tcBorders>
              <w:top w:val="single" w:sz="4" w:space="0" w:color="auto"/>
              <w:left w:val="single" w:sz="4" w:space="0" w:color="auto"/>
              <w:bottom w:val="single" w:sz="4" w:space="0" w:color="auto"/>
              <w:right w:val="single" w:sz="4" w:space="0" w:color="auto"/>
            </w:tcBorders>
          </w:tcPr>
          <w:p w14:paraId="12A5DEEB" w14:textId="77777777" w:rsidR="00DE6EE8" w:rsidRPr="002A4691" w:rsidRDefault="00DE6EE8" w:rsidP="009E47D9">
            <w:pPr>
              <w:spacing w:before="60" w:after="60"/>
              <w:ind w:left="28" w:right="33" w:hanging="28"/>
              <w:jc w:val="both"/>
              <w:rPr>
                <w:rFonts w:ascii="Times New Roman" w:hAnsi="Times New Roman"/>
                <w:bCs/>
                <w:sz w:val="26"/>
                <w:szCs w:val="26"/>
                <w:lang w:val="it-IT"/>
              </w:rPr>
            </w:pPr>
            <w:r w:rsidRPr="002A4691">
              <w:rPr>
                <w:rFonts w:ascii="Times New Roman" w:hAnsi="Times New Roman"/>
                <w:bCs/>
                <w:sz w:val="26"/>
                <w:szCs w:val="26"/>
                <w:lang w:val="it-IT"/>
              </w:rPr>
              <w:t>- 02 - 03 kỹ thuật canh tác dong riềng được hoàn thiện và ứng dụng, năng suất dong riềng tăng thêm tối thiểu 10%.</w:t>
            </w:r>
          </w:p>
          <w:p w14:paraId="0065A05C" w14:textId="77777777" w:rsidR="00DE6EE8" w:rsidRPr="002A4691" w:rsidRDefault="00DE6EE8" w:rsidP="009E47D9">
            <w:pPr>
              <w:spacing w:before="60" w:after="60"/>
              <w:ind w:left="28" w:right="33" w:hanging="28"/>
              <w:jc w:val="both"/>
              <w:rPr>
                <w:rFonts w:ascii="Times New Roman" w:hAnsi="Times New Roman"/>
                <w:bCs/>
                <w:sz w:val="26"/>
                <w:szCs w:val="26"/>
                <w:lang w:val="it-IT"/>
              </w:rPr>
            </w:pPr>
            <w:r w:rsidRPr="002A4691">
              <w:rPr>
                <w:rFonts w:ascii="Times New Roman" w:hAnsi="Times New Roman"/>
                <w:bCs/>
                <w:sz w:val="26"/>
                <w:szCs w:val="26"/>
                <w:lang w:val="it-IT"/>
              </w:rPr>
              <w:t>- Quy trình công nghệ bảo quản tinh bột dong riềng, thời gian bảo quản tăng thêm tối thiểu 04 tháng; quy mô phù hợp với mô hình hợp tác xã.</w:t>
            </w:r>
          </w:p>
          <w:p w14:paraId="55C5ABBB" w14:textId="77777777" w:rsidR="00DE6EE8" w:rsidRPr="002A4691" w:rsidRDefault="00DE6EE8" w:rsidP="009E47D9">
            <w:pPr>
              <w:spacing w:before="60" w:after="60"/>
              <w:ind w:left="28" w:right="33" w:hanging="28"/>
              <w:jc w:val="both"/>
              <w:rPr>
                <w:rFonts w:ascii="Times New Roman" w:hAnsi="Times New Roman"/>
                <w:bCs/>
                <w:sz w:val="26"/>
                <w:szCs w:val="26"/>
                <w:lang w:val="it-IT"/>
              </w:rPr>
            </w:pPr>
            <w:r w:rsidRPr="002A4691">
              <w:rPr>
                <w:rFonts w:ascii="Times New Roman" w:hAnsi="Times New Roman"/>
                <w:bCs/>
                <w:sz w:val="26"/>
                <w:szCs w:val="26"/>
                <w:lang w:val="it-IT"/>
              </w:rPr>
              <w:t>- Quy trình công nghệ chế biến miến dong riềng được hoàn thiện và ứng dụng tạo ra sản phẩm có chất lượng cao, ổn định, đảm bảo an toàn thực phẩm; quy mô phù hợp với mô hình hợp tác xã.</w:t>
            </w:r>
          </w:p>
          <w:p w14:paraId="1B5A1BA0" w14:textId="05A78C4B" w:rsidR="00DE6EE8" w:rsidRPr="002A3AE4" w:rsidRDefault="00DE6EE8" w:rsidP="009E47D9">
            <w:pPr>
              <w:spacing w:before="60" w:after="60"/>
              <w:ind w:left="28" w:right="33" w:hanging="28"/>
              <w:jc w:val="both"/>
              <w:rPr>
                <w:rFonts w:ascii="Times New Roman" w:hAnsi="Times New Roman"/>
                <w:bCs/>
                <w:sz w:val="26"/>
                <w:szCs w:val="26"/>
                <w:lang w:val="it-IT"/>
              </w:rPr>
            </w:pPr>
            <w:r w:rsidRPr="002A3AE4">
              <w:rPr>
                <w:rFonts w:ascii="Times New Roman" w:hAnsi="Times New Roman"/>
                <w:bCs/>
                <w:sz w:val="26"/>
                <w:szCs w:val="26"/>
                <w:lang w:val="it-IT"/>
              </w:rPr>
              <w:t xml:space="preserve">- 03 mô hình hợp tác xã kiểu mới liên kết theo chuỗi giá trị sản phẩm miến dong riềng tại ít nhất 02 tỉnh miền núi phía Bắc, quy mô mỗi mô hình gồm: tối thiểu 50 hộ, dây chuyền chế biến miến </w:t>
            </w:r>
            <w:r w:rsidR="00D323F7">
              <w:rPr>
                <w:rFonts w:ascii="Times New Roman" w:hAnsi="Times New Roman"/>
                <w:bCs/>
                <w:sz w:val="26"/>
                <w:szCs w:val="26"/>
                <w:lang w:val="it-IT"/>
              </w:rPr>
              <w:t xml:space="preserve">dong riềng </w:t>
            </w:r>
            <w:r w:rsidRPr="002A3AE4">
              <w:rPr>
                <w:rFonts w:ascii="Times New Roman" w:hAnsi="Times New Roman"/>
                <w:bCs/>
                <w:sz w:val="26"/>
                <w:szCs w:val="26"/>
                <w:lang w:val="it-IT"/>
              </w:rPr>
              <w:t>công suất tối thiểu 50 tấn/năm.</w:t>
            </w:r>
          </w:p>
          <w:p w14:paraId="6AE28032" w14:textId="77777777" w:rsidR="00DE6EE8" w:rsidRPr="002A4691" w:rsidRDefault="00DE6EE8" w:rsidP="009E47D9">
            <w:pPr>
              <w:tabs>
                <w:tab w:val="num" w:pos="993"/>
              </w:tabs>
              <w:spacing w:before="60" w:after="60"/>
              <w:ind w:left="28" w:right="33" w:hanging="28"/>
              <w:jc w:val="both"/>
              <w:rPr>
                <w:rFonts w:ascii="Times New Roman" w:hAnsi="Times New Roman"/>
                <w:bCs/>
                <w:sz w:val="26"/>
                <w:szCs w:val="26"/>
                <w:lang w:val="it-IT"/>
              </w:rPr>
            </w:pPr>
            <w:r w:rsidRPr="002A4691">
              <w:rPr>
                <w:rFonts w:ascii="Times New Roman" w:hAnsi="Times New Roman"/>
                <w:bCs/>
                <w:sz w:val="26"/>
                <w:szCs w:val="26"/>
                <w:lang w:val="it-IT"/>
              </w:rPr>
              <w:t>- Báo cáo đánh giá hiệu quả mô hình hợp tác xã kiểu mới liên kết theo chuỗi giá trị sản phẩm miến dong riềng.</w:t>
            </w:r>
          </w:p>
          <w:p w14:paraId="0E5CEB6A" w14:textId="1A92CA6F" w:rsidR="00DE6EE8" w:rsidRPr="002A4691" w:rsidRDefault="00DE6EE8" w:rsidP="009E47D9">
            <w:pPr>
              <w:spacing w:before="60" w:after="60"/>
              <w:ind w:left="28" w:right="33" w:hanging="28"/>
              <w:jc w:val="both"/>
              <w:rPr>
                <w:rFonts w:ascii="Times New Roman" w:hAnsi="Times New Roman"/>
                <w:bCs/>
                <w:sz w:val="26"/>
                <w:szCs w:val="26"/>
                <w:lang w:val="it-IT"/>
              </w:rPr>
            </w:pPr>
            <w:r w:rsidRPr="002A4691">
              <w:rPr>
                <w:rFonts w:ascii="Times New Roman" w:hAnsi="Times New Roman"/>
                <w:bCs/>
                <w:sz w:val="26"/>
                <w:szCs w:val="26"/>
                <w:lang w:val="it-IT"/>
              </w:rPr>
              <w:t xml:space="preserve">- 300 lượt người đào tạo về kỹ thuật canh tác, công nghệ bảo quản </w:t>
            </w:r>
            <w:r w:rsidR="00DD64EE">
              <w:rPr>
                <w:rFonts w:ascii="Times New Roman" w:hAnsi="Times New Roman"/>
                <w:bCs/>
                <w:sz w:val="26"/>
                <w:szCs w:val="26"/>
                <w:lang w:val="it-IT"/>
              </w:rPr>
              <w:t xml:space="preserve">và </w:t>
            </w:r>
            <w:r w:rsidRPr="00DD64EE">
              <w:rPr>
                <w:rFonts w:ascii="Times New Roman" w:hAnsi="Times New Roman"/>
                <w:bCs/>
                <w:sz w:val="26"/>
                <w:szCs w:val="26"/>
                <w:lang w:val="it-IT"/>
              </w:rPr>
              <w:t xml:space="preserve">chế biến </w:t>
            </w:r>
            <w:r w:rsidR="00DD64EE">
              <w:rPr>
                <w:rFonts w:ascii="Times New Roman" w:hAnsi="Times New Roman"/>
                <w:bCs/>
                <w:sz w:val="26"/>
                <w:szCs w:val="26"/>
                <w:lang w:val="it-IT"/>
              </w:rPr>
              <w:t xml:space="preserve">miến </w:t>
            </w:r>
            <w:r w:rsidRPr="00DD64EE">
              <w:rPr>
                <w:rFonts w:ascii="Times New Roman" w:hAnsi="Times New Roman"/>
                <w:bCs/>
                <w:sz w:val="26"/>
                <w:szCs w:val="26"/>
                <w:lang w:val="it-IT"/>
              </w:rPr>
              <w:t>dong riềng</w:t>
            </w:r>
            <w:r w:rsidRPr="002A4691">
              <w:rPr>
                <w:rFonts w:ascii="Times New Roman" w:hAnsi="Times New Roman"/>
                <w:bCs/>
                <w:sz w:val="26"/>
                <w:szCs w:val="26"/>
                <w:lang w:val="it-IT"/>
              </w:rPr>
              <w:t xml:space="preserve"> (02 lớp/mô hình).</w:t>
            </w:r>
          </w:p>
          <w:p w14:paraId="1DBFEEB1" w14:textId="77777777" w:rsidR="00DE6EE8" w:rsidRDefault="00DE6EE8" w:rsidP="009E47D9">
            <w:pPr>
              <w:spacing w:before="60" w:after="60"/>
              <w:ind w:left="28" w:right="33" w:hanging="28"/>
              <w:jc w:val="both"/>
              <w:rPr>
                <w:rFonts w:ascii="Times New Roman" w:hAnsi="Times New Roman"/>
                <w:bCs/>
                <w:sz w:val="26"/>
                <w:szCs w:val="26"/>
                <w:lang w:val="it-IT"/>
              </w:rPr>
            </w:pPr>
            <w:r w:rsidRPr="002A4691">
              <w:rPr>
                <w:rFonts w:ascii="Times New Roman" w:hAnsi="Times New Roman"/>
                <w:bCs/>
                <w:sz w:val="26"/>
                <w:szCs w:val="26"/>
                <w:lang w:val="it-IT"/>
              </w:rPr>
              <w:t>- Sản phẩm chế biến</w:t>
            </w:r>
            <w:r w:rsidRPr="0085007F">
              <w:rPr>
                <w:rFonts w:ascii="Times New Roman" w:hAnsi="Times New Roman"/>
                <w:bCs/>
                <w:sz w:val="26"/>
                <w:szCs w:val="26"/>
                <w:lang w:val="it-IT"/>
              </w:rPr>
              <w:t xml:space="preserve"> đạt tiêu chuẩn chất lượng và an toàn vệ sinh thực phẩm theo quy định hiện hành</w:t>
            </w:r>
            <w:r>
              <w:rPr>
                <w:rFonts w:ascii="Times New Roman" w:hAnsi="Times New Roman"/>
                <w:bCs/>
                <w:sz w:val="26"/>
                <w:szCs w:val="26"/>
                <w:lang w:val="it-IT"/>
              </w:rPr>
              <w:t>, gồm</w:t>
            </w:r>
            <w:r w:rsidRPr="002A4691">
              <w:rPr>
                <w:rFonts w:ascii="Times New Roman" w:hAnsi="Times New Roman"/>
                <w:bCs/>
                <w:sz w:val="26"/>
                <w:szCs w:val="26"/>
                <w:lang w:val="it-IT"/>
              </w:rPr>
              <w:t xml:space="preserve">: </w:t>
            </w:r>
          </w:p>
          <w:p w14:paraId="6734C414" w14:textId="1829FDF5" w:rsidR="00DE6EE8" w:rsidRDefault="00DE6EE8" w:rsidP="009E47D9">
            <w:pPr>
              <w:spacing w:before="60" w:after="60"/>
              <w:ind w:left="28" w:right="33" w:hanging="28"/>
              <w:jc w:val="both"/>
              <w:rPr>
                <w:rFonts w:ascii="Times New Roman" w:hAnsi="Times New Roman"/>
                <w:bCs/>
                <w:sz w:val="26"/>
                <w:szCs w:val="26"/>
                <w:lang w:val="it-IT"/>
              </w:rPr>
            </w:pPr>
            <w:r>
              <w:rPr>
                <w:rFonts w:ascii="Times New Roman" w:hAnsi="Times New Roman"/>
                <w:bCs/>
                <w:sz w:val="26"/>
                <w:szCs w:val="26"/>
                <w:lang w:val="it-IT"/>
              </w:rPr>
              <w:t xml:space="preserve">+ </w:t>
            </w:r>
            <w:r w:rsidRPr="002A4691">
              <w:rPr>
                <w:rFonts w:ascii="Times New Roman" w:hAnsi="Times New Roman"/>
                <w:bCs/>
                <w:sz w:val="26"/>
                <w:szCs w:val="26"/>
                <w:lang w:val="it-IT"/>
              </w:rPr>
              <w:t>20 tấn miến dong riềng các loại</w:t>
            </w:r>
            <w:r>
              <w:rPr>
                <w:rFonts w:ascii="Times New Roman" w:hAnsi="Times New Roman"/>
                <w:bCs/>
                <w:sz w:val="26"/>
                <w:szCs w:val="26"/>
                <w:lang w:val="it-IT"/>
              </w:rPr>
              <w:t>, đáp ứng TCVN 7879:2008 (CODEX STAN 249:2006)</w:t>
            </w:r>
            <w:r w:rsidR="00D323F7">
              <w:rPr>
                <w:rFonts w:ascii="Times New Roman" w:hAnsi="Times New Roman"/>
                <w:bCs/>
                <w:sz w:val="26"/>
                <w:szCs w:val="26"/>
                <w:lang w:val="it-IT"/>
              </w:rPr>
              <w:t>.</w:t>
            </w:r>
          </w:p>
          <w:p w14:paraId="6E5333EA" w14:textId="10DF6135" w:rsidR="00DE6EE8" w:rsidRDefault="00DE6EE8" w:rsidP="009E47D9">
            <w:pPr>
              <w:spacing w:before="60" w:after="60"/>
              <w:ind w:left="28" w:right="33" w:hanging="28"/>
              <w:jc w:val="both"/>
              <w:rPr>
                <w:rFonts w:ascii="Times New Roman" w:hAnsi="Times New Roman"/>
                <w:bCs/>
                <w:sz w:val="26"/>
                <w:szCs w:val="26"/>
                <w:lang w:val="it-IT"/>
              </w:rPr>
            </w:pPr>
            <w:r>
              <w:rPr>
                <w:rFonts w:ascii="Times New Roman" w:hAnsi="Times New Roman"/>
                <w:bCs/>
                <w:sz w:val="26"/>
                <w:szCs w:val="26"/>
                <w:lang w:val="it-IT"/>
              </w:rPr>
              <w:t>+</w:t>
            </w:r>
            <w:r w:rsidRPr="002A4691">
              <w:rPr>
                <w:rFonts w:ascii="Times New Roman" w:hAnsi="Times New Roman"/>
                <w:bCs/>
                <w:sz w:val="26"/>
                <w:szCs w:val="26"/>
                <w:lang w:val="it-IT"/>
              </w:rPr>
              <w:t xml:space="preserve"> 30 tấn tinh bột khô,</w:t>
            </w:r>
            <w:r>
              <w:rPr>
                <w:rFonts w:ascii="Times New Roman" w:hAnsi="Times New Roman"/>
                <w:bCs/>
                <w:sz w:val="26"/>
                <w:szCs w:val="26"/>
                <w:lang w:val="it-IT"/>
              </w:rPr>
              <w:t xml:space="preserve"> đáp ứng TCVN 10546:2014</w:t>
            </w:r>
            <w:r w:rsidR="00D323F7">
              <w:rPr>
                <w:rFonts w:ascii="Times New Roman" w:hAnsi="Times New Roman"/>
                <w:bCs/>
                <w:sz w:val="26"/>
                <w:szCs w:val="26"/>
                <w:lang w:val="it-IT"/>
              </w:rPr>
              <w:t>.</w:t>
            </w:r>
          </w:p>
          <w:p w14:paraId="08FB937E" w14:textId="77777777" w:rsidR="00DE6EE8" w:rsidRPr="0085007F" w:rsidRDefault="00DE6EE8" w:rsidP="009E47D9">
            <w:pPr>
              <w:spacing w:before="60" w:after="60"/>
              <w:ind w:left="28" w:right="33" w:hanging="28"/>
              <w:jc w:val="both"/>
              <w:rPr>
                <w:rFonts w:ascii="Times New Roman" w:hAnsi="Times New Roman"/>
                <w:bCs/>
                <w:sz w:val="26"/>
                <w:szCs w:val="26"/>
                <w:lang w:val="it-IT"/>
              </w:rPr>
            </w:pPr>
            <w:r>
              <w:rPr>
                <w:rFonts w:ascii="Times New Roman" w:hAnsi="Times New Roman"/>
                <w:bCs/>
                <w:sz w:val="26"/>
                <w:szCs w:val="26"/>
                <w:lang w:val="it-IT"/>
              </w:rPr>
              <w:t xml:space="preserve">+ </w:t>
            </w:r>
            <w:r w:rsidRPr="002A4691">
              <w:rPr>
                <w:rFonts w:ascii="Times New Roman" w:hAnsi="Times New Roman"/>
                <w:bCs/>
                <w:sz w:val="26"/>
                <w:szCs w:val="26"/>
                <w:lang w:val="it-IT"/>
              </w:rPr>
              <w:t>100 tấn tinh bột ướt</w:t>
            </w:r>
            <w:r>
              <w:rPr>
                <w:rFonts w:ascii="Times New Roman" w:hAnsi="Times New Roman"/>
                <w:bCs/>
                <w:sz w:val="26"/>
                <w:szCs w:val="26"/>
                <w:lang w:val="it-IT"/>
              </w:rPr>
              <w:t>: Hàm lượng ẩm ≤ 55% và đáp ứng TCVN 10546:2014</w:t>
            </w:r>
            <w:r w:rsidRPr="0085007F">
              <w:rPr>
                <w:rFonts w:ascii="Times New Roman" w:hAnsi="Times New Roman"/>
                <w:bCs/>
                <w:sz w:val="26"/>
                <w:szCs w:val="26"/>
                <w:lang w:val="it-IT"/>
              </w:rPr>
              <w:t>.</w:t>
            </w:r>
          </w:p>
          <w:p w14:paraId="59776BC5" w14:textId="36560970" w:rsidR="00DE6EE8" w:rsidRPr="009E47D9" w:rsidRDefault="00DE6EE8" w:rsidP="009E47D9">
            <w:pPr>
              <w:spacing w:before="60" w:after="60"/>
              <w:ind w:left="28" w:right="33" w:hanging="28"/>
              <w:jc w:val="both"/>
              <w:rPr>
                <w:rFonts w:ascii="Times New Roman" w:hAnsi="Times New Roman"/>
                <w:bCs/>
                <w:sz w:val="26"/>
                <w:szCs w:val="26"/>
                <w:lang w:val="it-IT"/>
              </w:rPr>
            </w:pPr>
            <w:r w:rsidRPr="0085007F">
              <w:rPr>
                <w:rFonts w:ascii="Times New Roman" w:hAnsi="Times New Roman"/>
                <w:bCs/>
                <w:sz w:val="26"/>
                <w:szCs w:val="26"/>
                <w:lang w:val="it-IT"/>
              </w:rPr>
              <w:t>- 03 giấy chứng nhận nhãn hiệu hàng hóa.</w:t>
            </w:r>
          </w:p>
        </w:tc>
        <w:tc>
          <w:tcPr>
            <w:tcW w:w="2191" w:type="dxa"/>
            <w:tcBorders>
              <w:top w:val="single" w:sz="4" w:space="0" w:color="auto"/>
              <w:left w:val="single" w:sz="4" w:space="0" w:color="auto"/>
              <w:bottom w:val="single" w:sz="4" w:space="0" w:color="auto"/>
              <w:right w:val="single" w:sz="4" w:space="0" w:color="auto"/>
            </w:tcBorders>
          </w:tcPr>
          <w:p w14:paraId="556E5974" w14:textId="052301A3" w:rsidR="00DE6EE8" w:rsidRPr="00DB6C17" w:rsidRDefault="00DE6EE8" w:rsidP="00DE6EE8">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bl>
    <w:p w14:paraId="559EED60" w14:textId="77777777" w:rsidR="00AA074E" w:rsidRPr="002F0815" w:rsidRDefault="00AA074E" w:rsidP="0040656C">
      <w:pPr>
        <w:rPr>
          <w:rFonts w:ascii="Times New Roman" w:hAnsi="Times New Roman"/>
          <w:sz w:val="6"/>
          <w:szCs w:val="6"/>
          <w:lang w:val="nl-NL"/>
        </w:rPr>
      </w:pPr>
    </w:p>
    <w:sectPr w:rsidR="00AA074E" w:rsidRPr="002F0815" w:rsidSect="006F2077">
      <w:headerReference w:type="default" r:id="rId9"/>
      <w:pgSz w:w="16834" w:h="11909" w:orient="landscape" w:code="9"/>
      <w:pgMar w:top="907" w:right="1009" w:bottom="851" w:left="1582"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27CB1" w14:textId="77777777" w:rsidR="0084710E" w:rsidRDefault="0084710E" w:rsidP="00873818">
      <w:r>
        <w:separator/>
      </w:r>
    </w:p>
  </w:endnote>
  <w:endnote w:type="continuationSeparator" w:id="0">
    <w:p w14:paraId="3CB96C8B" w14:textId="77777777" w:rsidR="0084710E" w:rsidRDefault="0084710E"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42E12" w14:textId="77777777" w:rsidR="0084710E" w:rsidRDefault="0084710E" w:rsidP="00873818">
      <w:r>
        <w:separator/>
      </w:r>
    </w:p>
  </w:footnote>
  <w:footnote w:type="continuationSeparator" w:id="0">
    <w:p w14:paraId="1506328C" w14:textId="77777777" w:rsidR="0084710E" w:rsidRDefault="0084710E"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058F4"/>
    <w:rsid w:val="00014B74"/>
    <w:rsid w:val="000161D7"/>
    <w:rsid w:val="00016B25"/>
    <w:rsid w:val="0001795D"/>
    <w:rsid w:val="000222C3"/>
    <w:rsid w:val="00025494"/>
    <w:rsid w:val="00030459"/>
    <w:rsid w:val="00037BB6"/>
    <w:rsid w:val="00040801"/>
    <w:rsid w:val="000451DB"/>
    <w:rsid w:val="000504CA"/>
    <w:rsid w:val="000519C1"/>
    <w:rsid w:val="000522A9"/>
    <w:rsid w:val="000549D8"/>
    <w:rsid w:val="0006094F"/>
    <w:rsid w:val="00063A16"/>
    <w:rsid w:val="00064AC5"/>
    <w:rsid w:val="00065EC3"/>
    <w:rsid w:val="000666DD"/>
    <w:rsid w:val="00083B82"/>
    <w:rsid w:val="0009452B"/>
    <w:rsid w:val="000A015D"/>
    <w:rsid w:val="000A1648"/>
    <w:rsid w:val="000A4D10"/>
    <w:rsid w:val="000B1555"/>
    <w:rsid w:val="000B7CD3"/>
    <w:rsid w:val="000C074E"/>
    <w:rsid w:val="000C0DAD"/>
    <w:rsid w:val="000C1E33"/>
    <w:rsid w:val="000C22B6"/>
    <w:rsid w:val="000D78A3"/>
    <w:rsid w:val="000E0FAC"/>
    <w:rsid w:val="000E3ED6"/>
    <w:rsid w:val="000F0590"/>
    <w:rsid w:val="000F49C4"/>
    <w:rsid w:val="001042C7"/>
    <w:rsid w:val="00113E20"/>
    <w:rsid w:val="00123023"/>
    <w:rsid w:val="00125805"/>
    <w:rsid w:val="00125FF9"/>
    <w:rsid w:val="00127940"/>
    <w:rsid w:val="00130B18"/>
    <w:rsid w:val="00131796"/>
    <w:rsid w:val="001367AF"/>
    <w:rsid w:val="00143FCA"/>
    <w:rsid w:val="00147313"/>
    <w:rsid w:val="0014748C"/>
    <w:rsid w:val="0015771F"/>
    <w:rsid w:val="00172173"/>
    <w:rsid w:val="00182F0B"/>
    <w:rsid w:val="00196FD9"/>
    <w:rsid w:val="001A265C"/>
    <w:rsid w:val="001A75B6"/>
    <w:rsid w:val="001A7CC9"/>
    <w:rsid w:val="001B7058"/>
    <w:rsid w:val="001C1AEE"/>
    <w:rsid w:val="001C2374"/>
    <w:rsid w:val="001E0500"/>
    <w:rsid w:val="001E5F25"/>
    <w:rsid w:val="001E6776"/>
    <w:rsid w:val="001F40BA"/>
    <w:rsid w:val="001F42D6"/>
    <w:rsid w:val="00202F19"/>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771EB"/>
    <w:rsid w:val="002861C3"/>
    <w:rsid w:val="002902BC"/>
    <w:rsid w:val="002918E2"/>
    <w:rsid w:val="00292E2E"/>
    <w:rsid w:val="00293D95"/>
    <w:rsid w:val="00294C2D"/>
    <w:rsid w:val="002A311F"/>
    <w:rsid w:val="002B0834"/>
    <w:rsid w:val="002B31B2"/>
    <w:rsid w:val="002D5344"/>
    <w:rsid w:val="002D6589"/>
    <w:rsid w:val="002E6EFE"/>
    <w:rsid w:val="002E79A6"/>
    <w:rsid w:val="002F0815"/>
    <w:rsid w:val="002F0A90"/>
    <w:rsid w:val="002F30C8"/>
    <w:rsid w:val="002F38CC"/>
    <w:rsid w:val="002F5A36"/>
    <w:rsid w:val="002F6824"/>
    <w:rsid w:val="003026E5"/>
    <w:rsid w:val="00307E6E"/>
    <w:rsid w:val="00312E7E"/>
    <w:rsid w:val="00313035"/>
    <w:rsid w:val="003144FF"/>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B30AD"/>
    <w:rsid w:val="003C025A"/>
    <w:rsid w:val="003C1C29"/>
    <w:rsid w:val="003C7ACE"/>
    <w:rsid w:val="003F1D31"/>
    <w:rsid w:val="003F61C7"/>
    <w:rsid w:val="00400A96"/>
    <w:rsid w:val="0040656C"/>
    <w:rsid w:val="00412445"/>
    <w:rsid w:val="00421D60"/>
    <w:rsid w:val="00424437"/>
    <w:rsid w:val="00425DB1"/>
    <w:rsid w:val="0043004F"/>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9604B"/>
    <w:rsid w:val="004A242B"/>
    <w:rsid w:val="004A3574"/>
    <w:rsid w:val="004A433C"/>
    <w:rsid w:val="004A4CE7"/>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4FA"/>
    <w:rsid w:val="0053770F"/>
    <w:rsid w:val="005650B1"/>
    <w:rsid w:val="00576C21"/>
    <w:rsid w:val="005815D6"/>
    <w:rsid w:val="00582149"/>
    <w:rsid w:val="00587829"/>
    <w:rsid w:val="005955F8"/>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13D28"/>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6EA9"/>
    <w:rsid w:val="00687BA8"/>
    <w:rsid w:val="00687C10"/>
    <w:rsid w:val="0069614F"/>
    <w:rsid w:val="006B1E24"/>
    <w:rsid w:val="006B6F2C"/>
    <w:rsid w:val="006C2FE9"/>
    <w:rsid w:val="006C31EE"/>
    <w:rsid w:val="006C64A1"/>
    <w:rsid w:val="006D1489"/>
    <w:rsid w:val="006D3B8F"/>
    <w:rsid w:val="006D59BC"/>
    <w:rsid w:val="006D756A"/>
    <w:rsid w:val="006E0473"/>
    <w:rsid w:val="006E1626"/>
    <w:rsid w:val="006F1F59"/>
    <w:rsid w:val="006F2077"/>
    <w:rsid w:val="00700B06"/>
    <w:rsid w:val="00702A0A"/>
    <w:rsid w:val="0070453F"/>
    <w:rsid w:val="007108E2"/>
    <w:rsid w:val="0071260C"/>
    <w:rsid w:val="00712AE2"/>
    <w:rsid w:val="007133B1"/>
    <w:rsid w:val="00717DE7"/>
    <w:rsid w:val="0072756C"/>
    <w:rsid w:val="007305E4"/>
    <w:rsid w:val="00731599"/>
    <w:rsid w:val="00736933"/>
    <w:rsid w:val="0073788C"/>
    <w:rsid w:val="00743952"/>
    <w:rsid w:val="00751DD6"/>
    <w:rsid w:val="00752562"/>
    <w:rsid w:val="0075781C"/>
    <w:rsid w:val="00767A4C"/>
    <w:rsid w:val="00780668"/>
    <w:rsid w:val="007914F5"/>
    <w:rsid w:val="007953BF"/>
    <w:rsid w:val="007A444E"/>
    <w:rsid w:val="007B510E"/>
    <w:rsid w:val="007B5C93"/>
    <w:rsid w:val="007B5D79"/>
    <w:rsid w:val="007B5D84"/>
    <w:rsid w:val="007B7303"/>
    <w:rsid w:val="007D3C30"/>
    <w:rsid w:val="007D72FB"/>
    <w:rsid w:val="007E224C"/>
    <w:rsid w:val="007F2A61"/>
    <w:rsid w:val="007F453A"/>
    <w:rsid w:val="00801025"/>
    <w:rsid w:val="00802E9B"/>
    <w:rsid w:val="0080369F"/>
    <w:rsid w:val="008131C7"/>
    <w:rsid w:val="0081568A"/>
    <w:rsid w:val="0081670D"/>
    <w:rsid w:val="00816772"/>
    <w:rsid w:val="00831DBD"/>
    <w:rsid w:val="008348D5"/>
    <w:rsid w:val="0083690E"/>
    <w:rsid w:val="00841614"/>
    <w:rsid w:val="0084710E"/>
    <w:rsid w:val="00847A4C"/>
    <w:rsid w:val="008622C9"/>
    <w:rsid w:val="008645A6"/>
    <w:rsid w:val="00864854"/>
    <w:rsid w:val="008660E0"/>
    <w:rsid w:val="00873818"/>
    <w:rsid w:val="00873953"/>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25B1"/>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C51B5"/>
    <w:rsid w:val="009D1124"/>
    <w:rsid w:val="009D75DB"/>
    <w:rsid w:val="009D7824"/>
    <w:rsid w:val="009E00F7"/>
    <w:rsid w:val="009E0560"/>
    <w:rsid w:val="009E47D9"/>
    <w:rsid w:val="009F4F1F"/>
    <w:rsid w:val="009F7BD9"/>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763C"/>
    <w:rsid w:val="00B360D4"/>
    <w:rsid w:val="00B37B09"/>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CCB"/>
    <w:rsid w:val="00BD3F7A"/>
    <w:rsid w:val="00BD4694"/>
    <w:rsid w:val="00BD571C"/>
    <w:rsid w:val="00BE29AC"/>
    <w:rsid w:val="00BE311B"/>
    <w:rsid w:val="00BF508F"/>
    <w:rsid w:val="00C00D5B"/>
    <w:rsid w:val="00C00E91"/>
    <w:rsid w:val="00C0156C"/>
    <w:rsid w:val="00C02C10"/>
    <w:rsid w:val="00C04616"/>
    <w:rsid w:val="00C05049"/>
    <w:rsid w:val="00C13529"/>
    <w:rsid w:val="00C13F4C"/>
    <w:rsid w:val="00C20F79"/>
    <w:rsid w:val="00C248E7"/>
    <w:rsid w:val="00C25AFA"/>
    <w:rsid w:val="00C27F95"/>
    <w:rsid w:val="00C379B4"/>
    <w:rsid w:val="00C46B94"/>
    <w:rsid w:val="00C54218"/>
    <w:rsid w:val="00C619A8"/>
    <w:rsid w:val="00C660EF"/>
    <w:rsid w:val="00C76A24"/>
    <w:rsid w:val="00C777B4"/>
    <w:rsid w:val="00C860FF"/>
    <w:rsid w:val="00C86433"/>
    <w:rsid w:val="00C903D2"/>
    <w:rsid w:val="00C90C67"/>
    <w:rsid w:val="00CA0B00"/>
    <w:rsid w:val="00CA6CAB"/>
    <w:rsid w:val="00CB0355"/>
    <w:rsid w:val="00CB1B37"/>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23F7"/>
    <w:rsid w:val="00D3647D"/>
    <w:rsid w:val="00D4331F"/>
    <w:rsid w:val="00D452AF"/>
    <w:rsid w:val="00D45BCC"/>
    <w:rsid w:val="00D5084D"/>
    <w:rsid w:val="00D5296E"/>
    <w:rsid w:val="00D55D71"/>
    <w:rsid w:val="00D644AB"/>
    <w:rsid w:val="00D666F5"/>
    <w:rsid w:val="00D758DB"/>
    <w:rsid w:val="00D83637"/>
    <w:rsid w:val="00D851C2"/>
    <w:rsid w:val="00D87000"/>
    <w:rsid w:val="00D92B2D"/>
    <w:rsid w:val="00D93E88"/>
    <w:rsid w:val="00DA4444"/>
    <w:rsid w:val="00DB6C17"/>
    <w:rsid w:val="00DB704F"/>
    <w:rsid w:val="00DC5FD9"/>
    <w:rsid w:val="00DD64EE"/>
    <w:rsid w:val="00DE2B92"/>
    <w:rsid w:val="00DE6EE8"/>
    <w:rsid w:val="00DE7822"/>
    <w:rsid w:val="00DF51AF"/>
    <w:rsid w:val="00DF539A"/>
    <w:rsid w:val="00E00D77"/>
    <w:rsid w:val="00E10796"/>
    <w:rsid w:val="00E22C02"/>
    <w:rsid w:val="00E22D0E"/>
    <w:rsid w:val="00E24015"/>
    <w:rsid w:val="00E26B20"/>
    <w:rsid w:val="00E300A5"/>
    <w:rsid w:val="00E31EE8"/>
    <w:rsid w:val="00E41E3D"/>
    <w:rsid w:val="00E510A8"/>
    <w:rsid w:val="00E61024"/>
    <w:rsid w:val="00E6192B"/>
    <w:rsid w:val="00E6408B"/>
    <w:rsid w:val="00E72950"/>
    <w:rsid w:val="00E743ED"/>
    <w:rsid w:val="00E7783C"/>
    <w:rsid w:val="00E814F0"/>
    <w:rsid w:val="00E81A60"/>
    <w:rsid w:val="00E97CBD"/>
    <w:rsid w:val="00EA0DE5"/>
    <w:rsid w:val="00EA42EB"/>
    <w:rsid w:val="00EA558F"/>
    <w:rsid w:val="00EA660E"/>
    <w:rsid w:val="00EB23DD"/>
    <w:rsid w:val="00EB2A99"/>
    <w:rsid w:val="00EC04AD"/>
    <w:rsid w:val="00EC0CAC"/>
    <w:rsid w:val="00EC12A6"/>
    <w:rsid w:val="00EC7D1A"/>
    <w:rsid w:val="00ED1FB2"/>
    <w:rsid w:val="00EE0FD6"/>
    <w:rsid w:val="00EE3B41"/>
    <w:rsid w:val="00EE4791"/>
    <w:rsid w:val="00EE7C9A"/>
    <w:rsid w:val="00EF02B3"/>
    <w:rsid w:val="00EF5512"/>
    <w:rsid w:val="00F01AF7"/>
    <w:rsid w:val="00F1053A"/>
    <w:rsid w:val="00F10B83"/>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A079E"/>
    <w:rsid w:val="00FA550E"/>
    <w:rsid w:val="00FB5D3F"/>
    <w:rsid w:val="00FC2DDC"/>
    <w:rsid w:val="00FD3659"/>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 w:type="paragraph" w:styleId="BalloonText">
    <w:name w:val="Balloon Text"/>
    <w:basedOn w:val="Normal"/>
    <w:link w:val="BalloonTextChar"/>
    <w:rsid w:val="009F7BD9"/>
    <w:rPr>
      <w:rFonts w:ascii="Segoe UI" w:hAnsi="Segoe UI" w:cs="Segoe UI"/>
      <w:sz w:val="18"/>
      <w:szCs w:val="18"/>
    </w:rPr>
  </w:style>
  <w:style w:type="character" w:customStyle="1" w:styleId="BalloonTextChar">
    <w:name w:val="Balloon Text Char"/>
    <w:basedOn w:val="DefaultParagraphFont"/>
    <w:link w:val="BalloonText"/>
    <w:rsid w:val="009F7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2020-12-03T03:40:00Z</cp:lastPrinted>
  <dcterms:created xsi:type="dcterms:W3CDTF">2020-12-22T03:14:00Z</dcterms:created>
  <dcterms:modified xsi:type="dcterms:W3CDTF">2020-12-22T03:14:00Z</dcterms:modified>
</cp:coreProperties>
</file>