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62" w:rsidRPr="00FE4862" w:rsidRDefault="00FE4862" w:rsidP="00FE4862">
      <w:pPr>
        <w:pStyle w:val="Heading1"/>
        <w:spacing w:line="264" w:lineRule="auto"/>
        <w:jc w:val="center"/>
        <w:rPr>
          <w:sz w:val="26"/>
          <w:szCs w:val="26"/>
        </w:rPr>
      </w:pPr>
      <w:r w:rsidRPr="00FE4862">
        <w:rPr>
          <w:sz w:val="26"/>
          <w:szCs w:val="26"/>
        </w:rPr>
        <w:t xml:space="preserve">DANH MỤC ĐẶT HÀNG NHIỆM VỤ KH&amp;CN VỀ QUỸ GEN CẤP QUỐC GIA THUỘC CHƯƠNG TRÌNH BẢO TỒN VÀ SỬ DỤNG BỀN VỮNG NGUỒN GEN ĐẾN NĂM 2025, ĐỊNH HƯỚNG ĐẾN NĂM 2030 THỰC HIỆN </w:t>
      </w:r>
    </w:p>
    <w:p w:rsidR="00FE4862" w:rsidRPr="00FE4862" w:rsidRDefault="00FE4862" w:rsidP="00FE4862">
      <w:pPr>
        <w:pStyle w:val="Heading1"/>
        <w:spacing w:line="264" w:lineRule="auto"/>
        <w:jc w:val="center"/>
        <w:rPr>
          <w:sz w:val="26"/>
          <w:szCs w:val="26"/>
        </w:rPr>
      </w:pPr>
      <w:r w:rsidRPr="00FE4862">
        <w:rPr>
          <w:sz w:val="26"/>
          <w:szCs w:val="26"/>
        </w:rPr>
        <w:t>TRONG KẾ HOẠCH NĂM 2018</w:t>
      </w:r>
    </w:p>
    <w:p w:rsidR="00FE4862" w:rsidRPr="00FE4862" w:rsidRDefault="00FE4862" w:rsidP="00FE486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E4862">
        <w:rPr>
          <w:rFonts w:ascii="Times New Roman" w:hAnsi="Times New Roman"/>
          <w:b/>
          <w:sz w:val="26"/>
          <w:szCs w:val="26"/>
        </w:rPr>
        <w:t>TUYỂN CHỌN</w:t>
      </w:r>
    </w:p>
    <w:p w:rsidR="00FE4862" w:rsidRDefault="00FE4862" w:rsidP="00FE4862">
      <w:pPr>
        <w:spacing w:after="120" w:line="264" w:lineRule="auto"/>
        <w:jc w:val="center"/>
        <w:rPr>
          <w:rFonts w:ascii="Times New Roman" w:hAnsi="Times New Roman"/>
          <w:i/>
          <w:sz w:val="26"/>
          <w:szCs w:val="26"/>
        </w:rPr>
      </w:pPr>
      <w:r w:rsidRPr="00FE4862">
        <w:rPr>
          <w:rFonts w:ascii="Times New Roman" w:hAnsi="Times New Roman"/>
          <w:i/>
          <w:sz w:val="26"/>
          <w:szCs w:val="26"/>
        </w:rPr>
        <w:t xml:space="preserve">(Kèm theo Quyết định  số  </w:t>
      </w:r>
      <w:r w:rsidR="00B838F6">
        <w:rPr>
          <w:rFonts w:ascii="Times New Roman" w:hAnsi="Times New Roman"/>
          <w:i/>
          <w:sz w:val="26"/>
          <w:szCs w:val="26"/>
        </w:rPr>
        <w:t>2000</w:t>
      </w:r>
      <w:r w:rsidRPr="00FE4862">
        <w:rPr>
          <w:rFonts w:ascii="Times New Roman" w:hAnsi="Times New Roman"/>
          <w:i/>
          <w:sz w:val="26"/>
          <w:szCs w:val="26"/>
        </w:rPr>
        <w:t xml:space="preserve"> /QĐ-BKHCN  ngày  </w:t>
      </w:r>
      <w:r w:rsidR="00B838F6">
        <w:rPr>
          <w:rFonts w:ascii="Times New Roman" w:hAnsi="Times New Roman"/>
          <w:i/>
          <w:sz w:val="26"/>
          <w:szCs w:val="26"/>
        </w:rPr>
        <w:t>07</w:t>
      </w:r>
      <w:r w:rsidRPr="00FE4862">
        <w:rPr>
          <w:rFonts w:ascii="Times New Roman" w:hAnsi="Times New Roman"/>
          <w:i/>
          <w:sz w:val="26"/>
          <w:szCs w:val="26"/>
        </w:rPr>
        <w:t xml:space="preserve"> </w:t>
      </w:r>
      <w:r w:rsidR="00B838F6">
        <w:rPr>
          <w:rFonts w:ascii="Times New Roman" w:hAnsi="Times New Roman"/>
          <w:i/>
          <w:sz w:val="26"/>
          <w:szCs w:val="26"/>
        </w:rPr>
        <w:t>tháng 8</w:t>
      </w:r>
      <w:r w:rsidRPr="00FE4862">
        <w:rPr>
          <w:rFonts w:ascii="Times New Roman" w:hAnsi="Times New Roman"/>
          <w:i/>
          <w:sz w:val="26"/>
          <w:szCs w:val="26"/>
        </w:rPr>
        <w:t xml:space="preserve"> năm 2017 của Bộ trưởng Bộ Khoa học và Công nghệ)</w:t>
      </w:r>
    </w:p>
    <w:p w:rsidR="00FE4862" w:rsidRPr="00FE4862" w:rsidRDefault="00FE4862" w:rsidP="00FE4862">
      <w:pPr>
        <w:spacing w:after="120" w:line="264" w:lineRule="auto"/>
        <w:jc w:val="center"/>
        <w:rPr>
          <w:rFonts w:ascii="Times New Roman" w:hAnsi="Times New Roman"/>
          <w:i/>
          <w:sz w:val="20"/>
          <w:szCs w:val="26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2037"/>
        <w:gridCol w:w="2409"/>
        <w:gridCol w:w="6237"/>
        <w:gridCol w:w="1276"/>
        <w:gridCol w:w="992"/>
      </w:tblGrid>
      <w:tr w:rsidR="006C226A" w:rsidRPr="00FE4862" w:rsidTr="00FE4862">
        <w:trPr>
          <w:trHeight w:val="1593"/>
        </w:trPr>
        <w:tc>
          <w:tcPr>
            <w:tcW w:w="657" w:type="dxa"/>
            <w:vAlign w:val="center"/>
          </w:tcPr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TT</w:t>
            </w:r>
          </w:p>
        </w:tc>
        <w:tc>
          <w:tcPr>
            <w:tcW w:w="2037" w:type="dxa"/>
            <w:vAlign w:val="center"/>
          </w:tcPr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Tên đề tài/dự án</w:t>
            </w:r>
          </w:p>
        </w:tc>
        <w:tc>
          <w:tcPr>
            <w:tcW w:w="2409" w:type="dxa"/>
            <w:vAlign w:val="center"/>
          </w:tcPr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Định hướng mục tiêu</w:t>
            </w:r>
          </w:p>
        </w:tc>
        <w:tc>
          <w:tcPr>
            <w:tcW w:w="6237" w:type="dxa"/>
            <w:vAlign w:val="center"/>
          </w:tcPr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Yêu cầu đối với kết quả*</w:t>
            </w:r>
          </w:p>
        </w:tc>
        <w:tc>
          <w:tcPr>
            <w:tcW w:w="1276" w:type="dxa"/>
            <w:vAlign w:val="center"/>
          </w:tcPr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Phương thức</w:t>
            </w:r>
          </w:p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tổ chức thực hiện</w:t>
            </w:r>
          </w:p>
        </w:tc>
        <w:tc>
          <w:tcPr>
            <w:tcW w:w="992" w:type="dxa"/>
            <w:vAlign w:val="center"/>
          </w:tcPr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Ghi chú</w:t>
            </w:r>
          </w:p>
        </w:tc>
      </w:tr>
      <w:tr w:rsidR="006C226A" w:rsidRPr="00FE4862" w:rsidTr="00FE4862">
        <w:tc>
          <w:tcPr>
            <w:tcW w:w="657" w:type="dxa"/>
          </w:tcPr>
          <w:p w:rsidR="006C226A" w:rsidRPr="00FE4862" w:rsidRDefault="00FE4862" w:rsidP="00FE486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2037" w:type="dxa"/>
          </w:tcPr>
          <w:p w:rsidR="006C226A" w:rsidRPr="00FE4862" w:rsidRDefault="006C226A" w:rsidP="00FE48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Nghiên cứu khai thác và phát triển nguồn gen cam Tây Giang</w:t>
            </w:r>
            <w:r w:rsidR="007F262F" w:rsidRPr="00FE4862">
              <w:rPr>
                <w:rFonts w:ascii="Times New Roman" w:hAnsi="Times New Roman"/>
                <w:sz w:val="26"/>
                <w:szCs w:val="26"/>
              </w:rPr>
              <w:t>,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 xml:space="preserve"> Quảng Nam.</w:t>
            </w:r>
          </w:p>
        </w:tc>
        <w:tc>
          <w:tcPr>
            <w:tcW w:w="2409" w:type="dxa"/>
          </w:tcPr>
          <w:p w:rsidR="006C226A" w:rsidRPr="00FE4862" w:rsidRDefault="00072209" w:rsidP="006C22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Bảo tồn, k</w:t>
            </w:r>
            <w:r w:rsidR="006C226A" w:rsidRPr="00FE4862">
              <w:rPr>
                <w:rFonts w:ascii="Times New Roman" w:hAnsi="Times New Roman"/>
                <w:sz w:val="26"/>
                <w:szCs w:val="26"/>
              </w:rPr>
              <w:t>hai thác và phát triển được nguồn gen bản địa</w:t>
            </w:r>
            <w:r w:rsidR="007F262F" w:rsidRPr="00FE4862">
              <w:rPr>
                <w:rFonts w:ascii="Times New Roman" w:hAnsi="Times New Roman"/>
                <w:sz w:val="26"/>
                <w:szCs w:val="26"/>
              </w:rPr>
              <w:t xml:space="preserve"> phục vụ sản xuất và chế biến cam Tây Giang,</w:t>
            </w:r>
            <w:r w:rsidR="006C226A" w:rsidRPr="00FE4862">
              <w:rPr>
                <w:rFonts w:ascii="Times New Roman" w:hAnsi="Times New Roman"/>
                <w:sz w:val="26"/>
                <w:szCs w:val="26"/>
              </w:rPr>
              <w:t xml:space="preserve"> Quảng Nam</w:t>
            </w:r>
            <w:r w:rsidR="007F262F" w:rsidRPr="00FE4862">
              <w:rPr>
                <w:rFonts w:ascii="Times New Roman" w:hAnsi="Times New Roman"/>
                <w:sz w:val="26"/>
                <w:szCs w:val="26"/>
              </w:rPr>
              <w:t xml:space="preserve"> nhằm</w:t>
            </w:r>
            <w:r w:rsidR="006C226A" w:rsidRPr="00FE4862">
              <w:rPr>
                <w:rFonts w:ascii="Times New Roman" w:hAnsi="Times New Roman"/>
                <w:sz w:val="26"/>
                <w:szCs w:val="26"/>
              </w:rPr>
              <w:t xml:space="preserve"> góp phần phát triển kinh tế</w:t>
            </w:r>
            <w:r w:rsidR="006A7D1A" w:rsidRPr="00FE486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6C226A" w:rsidRPr="00FE4862">
              <w:rPr>
                <w:rFonts w:ascii="Times New Roman" w:hAnsi="Times New Roman"/>
                <w:sz w:val="26"/>
                <w:szCs w:val="26"/>
              </w:rPr>
              <w:t xml:space="preserve"> xã hội ở địa phương. </w:t>
            </w:r>
          </w:p>
          <w:p w:rsidR="006C226A" w:rsidRPr="00FE4862" w:rsidRDefault="006C226A" w:rsidP="006C22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Bộ tư liệu về đặc điểm nông sinh học và giá trị kinh tế của nguồn gen cam Tây Giang;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Quy trình nhân giống, trồng, chăm sóc, thu hoạch và bảo quản cam Tây Giang;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Quy trình chế biến nước cam ép quy mô 1 tấn quả/mẻ;</w:t>
            </w:r>
          </w:p>
          <w:p w:rsidR="00B96120" w:rsidRPr="00FE4862" w:rsidRDefault="00B96120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Tiêu chuẩn cơ sở của nước cam ép;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5-10 cây đầu dòng sạch bệnh được công nhận,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Vườn giống gốc: 2.000 m</w:t>
            </w:r>
            <w:r w:rsidRPr="00FE486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Vườn nhân giống trong nhà cách ly: 500m</w:t>
            </w:r>
            <w:r w:rsidRPr="00FE486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, công suất 5.000 cây giống/năm;</w:t>
            </w:r>
          </w:p>
          <w:p w:rsidR="006C226A" w:rsidRPr="00FE4862" w:rsidRDefault="006C226A" w:rsidP="00B96120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 xml:space="preserve">Mô hình trồng mới 5ha </w:t>
            </w:r>
            <w:r w:rsidR="00B96120" w:rsidRPr="00FE4862">
              <w:rPr>
                <w:rFonts w:ascii="Times New Roman" w:hAnsi="Times New Roman"/>
                <w:sz w:val="26"/>
                <w:szCs w:val="26"/>
              </w:rPr>
              <w:t xml:space="preserve">có sự tham gia của doanh nghiệp, 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đảm bảo tỷ lệ sống đạt tối thiểu 95%;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 xml:space="preserve">Mô hình thâm canh </w:t>
            </w:r>
            <w:r w:rsidR="007F262F" w:rsidRPr="00FE4862">
              <w:rPr>
                <w:rFonts w:ascii="Times New Roman" w:hAnsi="Times New Roman"/>
                <w:sz w:val="26"/>
                <w:szCs w:val="26"/>
              </w:rPr>
              <w:t>5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ha có năng suất và hiệu quả kinh tế tăng thêm 15% so với đại trà;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1.000 lít nước cam ép đạt tiêu chuẩn cơ sở;</w:t>
            </w:r>
          </w:p>
          <w:p w:rsidR="006C226A" w:rsidRPr="00FE4862" w:rsidRDefault="003361B6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Tham gia</w:t>
            </w:r>
            <w:r w:rsidR="006C226A" w:rsidRPr="00FE4862">
              <w:rPr>
                <w:rFonts w:ascii="Times New Roman" w:hAnsi="Times New Roman"/>
                <w:sz w:val="26"/>
                <w:szCs w:val="26"/>
              </w:rPr>
              <w:t xml:space="preserve"> đào tạo 01 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thạc sĩ</w:t>
            </w:r>
            <w:r w:rsidR="006C226A" w:rsidRPr="00FE486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226A" w:rsidRDefault="006C226A" w:rsidP="003361B6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02 bài báo đăng trên tạp chí chuyên ngành.</w:t>
            </w:r>
          </w:p>
          <w:p w:rsidR="00FE4862" w:rsidRPr="00FE4862" w:rsidRDefault="00FE4862" w:rsidP="00FE4862">
            <w:pPr>
              <w:pStyle w:val="ListParagraph"/>
              <w:tabs>
                <w:tab w:val="left" w:pos="553"/>
              </w:tabs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C226A" w:rsidRPr="00FE4862" w:rsidRDefault="006C226A" w:rsidP="008F21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color w:val="000000"/>
                <w:sz w:val="26"/>
                <w:szCs w:val="26"/>
              </w:rPr>
              <w:t>Tuyển chọn</w:t>
            </w:r>
          </w:p>
        </w:tc>
        <w:tc>
          <w:tcPr>
            <w:tcW w:w="992" w:type="dxa"/>
            <w:vAlign w:val="center"/>
          </w:tcPr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6C226A" w:rsidRPr="00FE4862" w:rsidTr="00FE4862">
        <w:tc>
          <w:tcPr>
            <w:tcW w:w="657" w:type="dxa"/>
          </w:tcPr>
          <w:p w:rsidR="006C226A" w:rsidRPr="00FE4862" w:rsidRDefault="00FE4862" w:rsidP="00FE486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2037" w:type="dxa"/>
          </w:tcPr>
          <w:p w:rsidR="006C226A" w:rsidRPr="00FE4862" w:rsidRDefault="006C226A" w:rsidP="0033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 xml:space="preserve">Nghiên cứu khai thác và phát triển nguồn gen </w:t>
            </w:r>
            <w:r w:rsidRPr="00FE4862">
              <w:rPr>
                <w:rFonts w:ascii="Times New Roman" w:hAnsi="Times New Roman"/>
                <w:sz w:val="26"/>
                <w:szCs w:val="26"/>
                <w:lang w:val="nl-NL"/>
              </w:rPr>
              <w:t>quýt Khốp và cam Khe Mây</w:t>
            </w:r>
            <w:r w:rsidR="003361B6" w:rsidRPr="00FE4862">
              <w:rPr>
                <w:rFonts w:ascii="Times New Roman" w:hAnsi="Times New Roman"/>
                <w:sz w:val="26"/>
                <w:szCs w:val="26"/>
                <w:lang w:val="nl-NL"/>
              </w:rPr>
              <w:t>,</w:t>
            </w:r>
            <w:r w:rsidRPr="00FE486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Hà Tĩnh.</w:t>
            </w:r>
          </w:p>
        </w:tc>
        <w:tc>
          <w:tcPr>
            <w:tcW w:w="2409" w:type="dxa"/>
          </w:tcPr>
          <w:p w:rsidR="006C226A" w:rsidRPr="00FE4862" w:rsidRDefault="006C226A" w:rsidP="006C22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 xml:space="preserve">Bảo tồn, khai thác và phát triển được nguồn gen </w:t>
            </w:r>
            <w:r w:rsidRPr="00FE4862">
              <w:rPr>
                <w:rFonts w:ascii="Times New Roman" w:hAnsi="Times New Roman"/>
                <w:sz w:val="26"/>
                <w:szCs w:val="26"/>
                <w:lang w:val="nl-NL"/>
              </w:rPr>
              <w:t>quýt Khốp và cam Khe Mây</w:t>
            </w:r>
            <w:r w:rsidR="003361B6" w:rsidRPr="00FE4862">
              <w:rPr>
                <w:rFonts w:ascii="Times New Roman" w:hAnsi="Times New Roman"/>
                <w:sz w:val="26"/>
                <w:szCs w:val="26"/>
                <w:lang w:val="nl-NL"/>
              </w:rPr>
              <w:t>,</w:t>
            </w:r>
            <w:r w:rsidRPr="00FE486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Hà Tĩnh</w:t>
            </w:r>
            <w:r w:rsidR="003361B6" w:rsidRPr="00FE486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nhằm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 xml:space="preserve"> góp phần phát triển kinh tế</w:t>
            </w:r>
            <w:r w:rsidR="006A7D1A" w:rsidRPr="00FE486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 xml:space="preserve"> xã hội ở địa phương. </w:t>
            </w:r>
          </w:p>
          <w:p w:rsidR="006C226A" w:rsidRPr="00FE4862" w:rsidRDefault="006C226A" w:rsidP="006C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6C226A" w:rsidRPr="00FE4862" w:rsidRDefault="006C226A" w:rsidP="006C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6C226A" w:rsidRPr="00FE4862" w:rsidRDefault="006C226A" w:rsidP="006C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6C226A" w:rsidRPr="00FE4862" w:rsidRDefault="006C226A" w:rsidP="006C22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 xml:space="preserve">Bộ tư liệu về đặc điểm nông sinh học và giá trị kinh tế của nguồn gen </w:t>
            </w:r>
            <w:r w:rsidRPr="00FE4862">
              <w:rPr>
                <w:rFonts w:ascii="Times New Roman" w:hAnsi="Times New Roman"/>
                <w:sz w:val="26"/>
                <w:szCs w:val="26"/>
                <w:lang w:val="nl-NL"/>
              </w:rPr>
              <w:t>quýt Khốp và cam Khe Mây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 xml:space="preserve">Quy trình nhân giống, trồng, chăm sóc, thu hoạch và bảo quản </w:t>
            </w:r>
            <w:r w:rsidRPr="00FE4862">
              <w:rPr>
                <w:rFonts w:ascii="Times New Roman" w:hAnsi="Times New Roman"/>
                <w:sz w:val="26"/>
                <w:szCs w:val="26"/>
                <w:lang w:val="nl-NL"/>
              </w:rPr>
              <w:t>quýt Khốp và cam Khe Mây;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5-10 cây đầu dòng sạch bệnh được công nhận cho mỗi nguồn gen;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25 cây S</w:t>
            </w:r>
            <w:r w:rsidRPr="00FE486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, 100 cây S</w:t>
            </w:r>
            <w:r w:rsidRPr="00FE4862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 xml:space="preserve"> cho mỗi loại nguồn gen;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Vườn nhân giống trong nhà cách ly: 500m</w:t>
            </w:r>
            <w:r w:rsidRPr="00FE486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/ nguồn gen, công suất 5.000 cây giống/nguồn gen/năm;</w:t>
            </w:r>
          </w:p>
          <w:p w:rsidR="006C226A" w:rsidRPr="00FE4862" w:rsidRDefault="006C226A" w:rsidP="00B96120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 xml:space="preserve">Mô hình trồng mới 5ha/nguồn gen </w:t>
            </w:r>
            <w:r w:rsidR="00B96120" w:rsidRPr="00FE4862">
              <w:rPr>
                <w:rFonts w:ascii="Times New Roman" w:hAnsi="Times New Roman"/>
                <w:sz w:val="26"/>
                <w:szCs w:val="26"/>
              </w:rPr>
              <w:t xml:space="preserve">có sự tham gia của doanh nghiệp, 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đảm bảo tỷ lệ sống đạt tối thiểu 95%;</w:t>
            </w:r>
          </w:p>
          <w:p w:rsidR="006C226A" w:rsidRPr="00FE4862" w:rsidRDefault="006C226A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 xml:space="preserve">Mô hình thâm canh </w:t>
            </w:r>
            <w:r w:rsidR="00E67E4E" w:rsidRPr="00FE4862">
              <w:rPr>
                <w:rFonts w:ascii="Times New Roman" w:hAnsi="Times New Roman"/>
                <w:sz w:val="26"/>
                <w:szCs w:val="26"/>
              </w:rPr>
              <w:t>3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ha/ nguồn gen, có năng suất và hiệu quả kinh tế tăng thêm 15% so với đại trà;</w:t>
            </w:r>
          </w:p>
          <w:p w:rsidR="006C226A" w:rsidRPr="00FE4862" w:rsidRDefault="003361B6" w:rsidP="006C226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Tham gia</w:t>
            </w:r>
            <w:r w:rsidR="006C226A" w:rsidRPr="00FE4862">
              <w:rPr>
                <w:rFonts w:ascii="Times New Roman" w:hAnsi="Times New Roman"/>
                <w:sz w:val="26"/>
                <w:szCs w:val="26"/>
              </w:rPr>
              <w:t xml:space="preserve"> đào tạo 01 </w:t>
            </w:r>
            <w:r w:rsidRPr="00FE4862">
              <w:rPr>
                <w:rFonts w:ascii="Times New Roman" w:hAnsi="Times New Roman"/>
                <w:sz w:val="26"/>
                <w:szCs w:val="26"/>
              </w:rPr>
              <w:t>thạc sĩ</w:t>
            </w:r>
            <w:r w:rsidR="006C226A" w:rsidRPr="00FE486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226A" w:rsidRPr="00FE4862" w:rsidRDefault="006C226A" w:rsidP="003361B6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sz w:val="26"/>
                <w:szCs w:val="26"/>
              </w:rPr>
              <w:t>02 bài báo đăng trên tạp chí chuyên ngành.</w:t>
            </w:r>
          </w:p>
          <w:p w:rsidR="00B96120" w:rsidRPr="00FE4862" w:rsidRDefault="00B96120" w:rsidP="00B96120">
            <w:pPr>
              <w:tabs>
                <w:tab w:val="left" w:pos="553"/>
              </w:tabs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C226A" w:rsidRPr="00FE4862" w:rsidRDefault="00BA4872" w:rsidP="008F21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color w:val="000000"/>
                <w:sz w:val="26"/>
                <w:szCs w:val="26"/>
              </w:rPr>
              <w:t>Tuyển chọn</w:t>
            </w:r>
          </w:p>
        </w:tc>
        <w:tc>
          <w:tcPr>
            <w:tcW w:w="992" w:type="dxa"/>
            <w:vAlign w:val="center"/>
          </w:tcPr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6C226A" w:rsidRPr="00FE4862" w:rsidTr="00FE4862">
        <w:tc>
          <w:tcPr>
            <w:tcW w:w="657" w:type="dxa"/>
          </w:tcPr>
          <w:p w:rsidR="006C226A" w:rsidRPr="00FE4862" w:rsidRDefault="00FE4862" w:rsidP="00FE486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Cs/>
                <w:iCs/>
                <w:sz w:val="26"/>
                <w:szCs w:val="26"/>
              </w:rPr>
              <w:t>3.</w:t>
            </w:r>
          </w:p>
        </w:tc>
        <w:tc>
          <w:tcPr>
            <w:tcW w:w="2037" w:type="dxa"/>
          </w:tcPr>
          <w:p w:rsidR="006C226A" w:rsidRPr="00FE4862" w:rsidRDefault="006C226A" w:rsidP="00FE48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Nghiên cứu khai thác và phát triển nguồn gencây thạch đen (</w:t>
            </w:r>
            <w:r w:rsidRPr="00FE4862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Mesona chinensis</w:t>
            </w:r>
            <w:r w:rsidRPr="00FE486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Benth.</w:t>
            </w:r>
            <w:r w:rsidRPr="00FE486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 tại Cao Bằng và một số tỉnh miền núi phía Bắc</w:t>
            </w:r>
            <w:r w:rsidRPr="00FE4862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6C226A" w:rsidRPr="00FE4862" w:rsidRDefault="006C226A" w:rsidP="00FE48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Khai thác và phát triển bền vững được nguồn gen cây thạch đen (</w:t>
            </w:r>
            <w:r w:rsidRPr="00FE4862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Mesona chinensis </w:t>
            </w:r>
            <w:r w:rsidRPr="00FE4862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Benth.</w:t>
            </w:r>
            <w:r w:rsidRPr="00FE486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 tại Cao Bằng và một số tỉnh miền núi phía Bắc</w:t>
            </w:r>
            <w:r w:rsidR="00B82A2F" w:rsidRPr="00FE486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phục vụ sản xuất hàng hoá</w:t>
            </w:r>
            <w:r w:rsidRPr="00FE486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6C226A" w:rsidRPr="00FE4862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Báo cáo đánh giá thực trạng giống, sản xuất, chế biến và thị trường tiêu thụ cây thạch đen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C226A" w:rsidRPr="00FE4862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- Cơ sở dữ liệu nông sinh học và giá trị nguồn gen của cây thạ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ch đen;</w:t>
            </w:r>
          </w:p>
          <w:p w:rsidR="00F62CC5" w:rsidRPr="00FE4862" w:rsidRDefault="00F62CC5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Quy trình nhân giống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vô tính cây 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thạch đen;</w:t>
            </w:r>
          </w:p>
          <w:p w:rsidR="00F62CC5" w:rsidRPr="00FE4862" w:rsidRDefault="00F62CC5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Quy trình kỹ thuật 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thâm canh và quản lý dịch hại tổng hợp 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thạch đen;</w:t>
            </w:r>
          </w:p>
          <w:p w:rsidR="00F62CC5" w:rsidRPr="00FE4862" w:rsidRDefault="00F62CC5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- Quy trình thu hoạch, sơ chế và chế biến bột thạch đen hàng hóa;</w:t>
            </w:r>
          </w:p>
          <w:p w:rsidR="00B96120" w:rsidRPr="00B838F6" w:rsidRDefault="00B96120" w:rsidP="00B96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8F6">
              <w:rPr>
                <w:rFonts w:ascii="Times New Roman" w:eastAsia="Calibri" w:hAnsi="Times New Roman" w:cs="Times New Roman"/>
                <w:sz w:val="26"/>
                <w:szCs w:val="26"/>
              </w:rPr>
              <w:t>- Tiêu chuẩn cơ sở giống, cây giống và bột thạch đen bán thành phẩm;</w:t>
            </w:r>
          </w:p>
          <w:p w:rsidR="006C226A" w:rsidRPr="00FE4862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- 1-2 mẫu giống thạch đen đảm bảo chất lượng, năng suất cao hơn tối thiểu 15% so với sản xuất đạ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i trà;</w:t>
            </w:r>
          </w:p>
          <w:p w:rsidR="006C226A" w:rsidRPr="00FE4862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- 2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000 </w:t>
            </w:r>
            <w:r w:rsidR="00F62CC5" w:rsidRPr="00FE4862">
              <w:rPr>
                <w:rFonts w:ascii="Times New Roman" w:hAnsi="Times New Roman"/>
                <w:sz w:val="26"/>
                <w:szCs w:val="26"/>
              </w:rPr>
              <w:t>m</w:t>
            </w:r>
            <w:r w:rsidR="00F62CC5" w:rsidRPr="00FE486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vườn giống gốc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000 </w:t>
            </w:r>
            <w:r w:rsidR="00F62CC5" w:rsidRPr="00FE4862">
              <w:rPr>
                <w:rFonts w:ascii="Times New Roman" w:hAnsi="Times New Roman"/>
                <w:sz w:val="26"/>
                <w:szCs w:val="26"/>
              </w:rPr>
              <w:t>m</w:t>
            </w:r>
            <w:r w:rsidR="00F62CC5" w:rsidRPr="00FE486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vườn nhân giống công suất 100.000cây giống/vụ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C226A" w:rsidRPr="00FE4862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03 m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ô hình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thâm canh thạch đen 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quy mô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1ha/tỉnh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) </w:t>
            </w:r>
            <w:r w:rsidR="00B96120" w:rsidRPr="00FE4862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có sự tham gia của doanh nghiệp, 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đảm bảo chất lượng, năng suất cao hơn tối thiểu 15% so với sản xuất đại trà</w:t>
            </w:r>
            <w:r w:rsidR="00F62CC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C226A" w:rsidRPr="00B838F6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- 20 kg bột thạch đen bán thành phẩm hàm lượng chất khô </w:t>
            </w:r>
            <w:r w:rsidR="00F62CC5" w:rsidRPr="00B838F6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≥</w:t>
            </w: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95%</w:t>
            </w:r>
            <w:r w:rsidR="006A7D1A" w:rsidRPr="00B838F6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,</w:t>
            </w: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thời gian bảo quản ít nhấ</w:t>
            </w:r>
            <w:r w:rsidR="006A7D1A" w:rsidRPr="00B838F6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t 12 tháng;</w:t>
            </w:r>
          </w:p>
          <w:p w:rsidR="006C226A" w:rsidRPr="00FE4862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6A7D1A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Tham gia đà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o tạo 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1-2 thạc sỹ</w:t>
            </w:r>
            <w:r w:rsidR="006A7D1A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C226A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- 2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-3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bài báo đăng trên tạp chí khoa học chuyên ngành.</w:t>
            </w:r>
          </w:p>
          <w:p w:rsidR="00FE4862" w:rsidRPr="00FE4862" w:rsidRDefault="00FE4862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C226A" w:rsidRPr="00FE4862" w:rsidRDefault="00BA4872" w:rsidP="008F21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Tuyển chọn</w:t>
            </w:r>
          </w:p>
        </w:tc>
        <w:tc>
          <w:tcPr>
            <w:tcW w:w="992" w:type="dxa"/>
            <w:vAlign w:val="center"/>
          </w:tcPr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6C226A" w:rsidRPr="00FE4862" w:rsidTr="00FE4862">
        <w:tc>
          <w:tcPr>
            <w:tcW w:w="657" w:type="dxa"/>
          </w:tcPr>
          <w:p w:rsidR="006C226A" w:rsidRPr="00FE4862" w:rsidRDefault="00FE4862" w:rsidP="00FE486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E4862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4.</w:t>
            </w:r>
          </w:p>
        </w:tc>
        <w:tc>
          <w:tcPr>
            <w:tcW w:w="2037" w:type="dxa"/>
          </w:tcPr>
          <w:p w:rsidR="006C226A" w:rsidRPr="00FE4862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Nghiên cứu khai thác và phát triển nguồn gen cây Ươi (</w:t>
            </w:r>
            <w:r w:rsidRPr="00FE486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Scaphium macropodum)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tại một số tỉnh miền Trung và Tây Nguyên.</w:t>
            </w:r>
          </w:p>
          <w:p w:rsidR="006C226A" w:rsidRPr="00FE4862" w:rsidRDefault="006C226A" w:rsidP="006A7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6C226A" w:rsidRPr="00FE4862" w:rsidRDefault="006C226A" w:rsidP="006A7D1A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  <w:t xml:space="preserve">Phát triển được nguồn gen cây Ươi </w:t>
            </w:r>
            <w:r w:rsidR="006A7D1A" w:rsidRPr="00FE4862"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  <w:t xml:space="preserve">lấy quả </w:t>
            </w:r>
            <w:r w:rsidRPr="00FE4862"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  <w:t>có năng suất, chất lượ</w:t>
            </w:r>
            <w:r w:rsidR="006A7D1A" w:rsidRPr="00FE4862"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  <w:t xml:space="preserve">ng </w:t>
            </w:r>
            <w:r w:rsidRPr="00FE4862"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  <w:t>cao</w:t>
            </w:r>
            <w:r w:rsidR="006A7D1A" w:rsidRPr="00FE4862"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  <w:t xml:space="preserve"> nhằm đa dạng hóa cơ cấu cây trồng,</w:t>
            </w:r>
            <w:r w:rsidRPr="00FE4862"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  <w:t xml:space="preserve"> góp phần </w:t>
            </w:r>
            <w:r w:rsidR="006A7D1A" w:rsidRPr="00FE4862"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  <w:t xml:space="preserve">phát triển kinh tế - xã hội tại một số </w:t>
            </w:r>
            <w:r w:rsidRPr="00FE4862"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  <w:t>tỉnh miền Trung và Tây Nguyên.</w:t>
            </w:r>
          </w:p>
          <w:p w:rsidR="006C226A" w:rsidRPr="00FE4862" w:rsidRDefault="006C226A" w:rsidP="006A7D1A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w w:val="105"/>
                <w:sz w:val="26"/>
                <w:szCs w:val="26"/>
              </w:rPr>
            </w:pPr>
          </w:p>
          <w:p w:rsidR="006C226A" w:rsidRPr="00FE4862" w:rsidRDefault="006C226A" w:rsidP="006A7D1A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</w:tcPr>
          <w:p w:rsidR="006C226A" w:rsidRPr="00B838F6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Báo cáo đặc điểm sinh học và cơ sở dữ liệu về giá trị nguồn gen cây Ươi (chỉ tiêu năng suất, chất lượng quả và đa dạng di truyề</w:t>
            </w:r>
            <w:r w:rsidR="006A7D1A"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n); </w:t>
            </w:r>
          </w:p>
          <w:p w:rsidR="00035075" w:rsidRPr="00B838F6" w:rsidRDefault="00035075" w:rsidP="0003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Hướng dẫn kỹ thuật nhân giống bằng phương pháp ghép, trồng thâm canh cây Ươi lấy quả;</w:t>
            </w:r>
          </w:p>
          <w:p w:rsidR="00035075" w:rsidRPr="00B838F6" w:rsidRDefault="00035075" w:rsidP="0003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Hướng dẫn kỹ thu</w:t>
            </w:r>
            <w:bookmarkStart w:id="0" w:name="_GoBack"/>
            <w:bookmarkEnd w:id="0"/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ật thu hái, sơ chế và bảo quản quả Ươi sau thu hoạch;</w:t>
            </w:r>
          </w:p>
          <w:p w:rsidR="00B96120" w:rsidRPr="00B838F6" w:rsidRDefault="00B96120" w:rsidP="00B96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Tiêu chuẩn cơ sở của cây giống và quả Ươi;</w:t>
            </w:r>
          </w:p>
          <w:p w:rsidR="006C226A" w:rsidRPr="00B838F6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Ít nhất 50 cây trội lấy quả</w:t>
            </w:r>
            <w:r w:rsidR="00035075"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;</w:t>
            </w:r>
          </w:p>
          <w:p w:rsidR="006C226A" w:rsidRPr="00B838F6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- 3 ha vườn giống vô tính bằng cây ghép kết hợp khảo nghiệm giống (1 ha/ vườn)</w:t>
            </w:r>
            <w:r w:rsidR="00035075"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;</w:t>
            </w:r>
          </w:p>
          <w:p w:rsidR="006C226A" w:rsidRPr="00B838F6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- 9 ha mô hình trồng thâm canh cây Ươi </w:t>
            </w:r>
            <w:r w:rsidR="00B96120" w:rsidRPr="00B838F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  <w:lang w:val="nl-NL"/>
              </w:rPr>
              <w:t>có sự tham gia của doanh nghiệp</w:t>
            </w: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tại 3 tỉnh từ ít nhất 10 cây trội tốt nhất để lấy quả (ít nhất 2 ha/địa điểm), tỷ lệ sống ít nhấ</w:t>
            </w:r>
            <w:r w:rsidR="00035075"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 85%;</w:t>
            </w:r>
          </w:p>
          <w:p w:rsidR="006C226A" w:rsidRPr="00B838F6" w:rsidRDefault="006C226A" w:rsidP="006A7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- 50 kg </w:t>
            </w:r>
            <w:r w:rsidR="00B96120"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quả</w:t>
            </w:r>
            <w:r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Ươi đảm bảo chất lượ</w:t>
            </w:r>
            <w:r w:rsidR="00035075" w:rsidRPr="00B838F6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ng;</w:t>
            </w:r>
          </w:p>
          <w:p w:rsidR="006C226A" w:rsidRPr="00FE4862" w:rsidRDefault="006C226A" w:rsidP="0003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03507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Tham gia đ</w:t>
            </w: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ào tạo 01 thạc sỹ</w:t>
            </w:r>
            <w:r w:rsidR="00035075"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35075" w:rsidRPr="00FE4862" w:rsidRDefault="00035075" w:rsidP="0003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4862">
              <w:rPr>
                <w:rFonts w:ascii="Times New Roman" w:eastAsia="Calibri" w:hAnsi="Times New Roman" w:cs="Times New Roman"/>
                <w:sz w:val="26"/>
                <w:szCs w:val="26"/>
              </w:rPr>
              <w:t>- 02 bài báo đăng trên tạp chí chuyên ngành.</w:t>
            </w:r>
          </w:p>
          <w:p w:rsidR="00035075" w:rsidRPr="00FE4862" w:rsidRDefault="00035075" w:rsidP="00035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:rsidR="006C226A" w:rsidRPr="00FE4862" w:rsidRDefault="00BA4872" w:rsidP="008F21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62">
              <w:rPr>
                <w:rFonts w:ascii="Times New Roman" w:hAnsi="Times New Roman"/>
                <w:color w:val="000000"/>
                <w:sz w:val="26"/>
                <w:szCs w:val="26"/>
              </w:rPr>
              <w:t>Tuyển chọn</w:t>
            </w:r>
          </w:p>
        </w:tc>
        <w:tc>
          <w:tcPr>
            <w:tcW w:w="992" w:type="dxa"/>
            <w:vAlign w:val="center"/>
          </w:tcPr>
          <w:p w:rsidR="006C226A" w:rsidRPr="00FE4862" w:rsidRDefault="006C226A" w:rsidP="008F2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DA1DF7" w:rsidRPr="00FE4862" w:rsidRDefault="00DA1DF7">
      <w:pPr>
        <w:rPr>
          <w:sz w:val="26"/>
          <w:szCs w:val="26"/>
        </w:rPr>
      </w:pPr>
    </w:p>
    <w:sectPr w:rsidR="00DA1DF7" w:rsidRPr="00FE4862" w:rsidSect="00DC2D1C">
      <w:footerReference w:type="default" r:id="rId7"/>
      <w:pgSz w:w="15840" w:h="12240" w:orient="landscape"/>
      <w:pgMar w:top="113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F6" w:rsidRDefault="00BD3CF6" w:rsidP="00DC2D1C">
      <w:pPr>
        <w:spacing w:after="0" w:line="240" w:lineRule="auto"/>
      </w:pPr>
      <w:r>
        <w:separator/>
      </w:r>
    </w:p>
  </w:endnote>
  <w:endnote w:type="continuationSeparator" w:id="1">
    <w:p w:rsidR="00BD3CF6" w:rsidRDefault="00BD3CF6" w:rsidP="00D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344969"/>
      <w:docPartObj>
        <w:docPartGallery w:val="Page Numbers (Bottom of Page)"/>
        <w:docPartUnique/>
      </w:docPartObj>
    </w:sdtPr>
    <w:sdtContent>
      <w:p w:rsidR="00DC2D1C" w:rsidRDefault="004B6EDD">
        <w:pPr>
          <w:pStyle w:val="Footer"/>
          <w:jc w:val="center"/>
        </w:pPr>
        <w:fldSimple w:instr=" PAGE   \* MERGEFORMAT ">
          <w:r w:rsidR="00B838F6">
            <w:rPr>
              <w:noProof/>
            </w:rPr>
            <w:t>3</w:t>
          </w:r>
        </w:fldSimple>
      </w:p>
    </w:sdtContent>
  </w:sdt>
  <w:p w:rsidR="00DC2D1C" w:rsidRDefault="00DC2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F6" w:rsidRDefault="00BD3CF6" w:rsidP="00DC2D1C">
      <w:pPr>
        <w:spacing w:after="0" w:line="240" w:lineRule="auto"/>
      </w:pPr>
      <w:r>
        <w:separator/>
      </w:r>
    </w:p>
  </w:footnote>
  <w:footnote w:type="continuationSeparator" w:id="1">
    <w:p w:rsidR="00BD3CF6" w:rsidRDefault="00BD3CF6" w:rsidP="00DC2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7E16"/>
    <w:multiLevelType w:val="hybridMultilevel"/>
    <w:tmpl w:val="AC5E0006"/>
    <w:lvl w:ilvl="0" w:tplc="E488B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26A"/>
    <w:rsid w:val="00035075"/>
    <w:rsid w:val="00072209"/>
    <w:rsid w:val="000E61C0"/>
    <w:rsid w:val="003361B6"/>
    <w:rsid w:val="004B6EDD"/>
    <w:rsid w:val="005046F4"/>
    <w:rsid w:val="00696452"/>
    <w:rsid w:val="006A7D1A"/>
    <w:rsid w:val="006C226A"/>
    <w:rsid w:val="00753470"/>
    <w:rsid w:val="007F262F"/>
    <w:rsid w:val="00B82A2F"/>
    <w:rsid w:val="00B838F6"/>
    <w:rsid w:val="00B96120"/>
    <w:rsid w:val="00BA4872"/>
    <w:rsid w:val="00BD3CF6"/>
    <w:rsid w:val="00DA1DF7"/>
    <w:rsid w:val="00DC2D1C"/>
    <w:rsid w:val="00E67E4E"/>
    <w:rsid w:val="00F62CC5"/>
    <w:rsid w:val="00FE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F7"/>
  </w:style>
  <w:style w:type="paragraph" w:styleId="Heading1">
    <w:name w:val="heading 1"/>
    <w:basedOn w:val="Normal"/>
    <w:next w:val="Normal"/>
    <w:link w:val="Heading1Char"/>
    <w:uiPriority w:val="99"/>
    <w:qFormat/>
    <w:rsid w:val="006C22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C226A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6C226A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C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D1C"/>
  </w:style>
  <w:style w:type="paragraph" w:styleId="Footer">
    <w:name w:val="footer"/>
    <w:basedOn w:val="Normal"/>
    <w:link w:val="FooterChar"/>
    <w:uiPriority w:val="99"/>
    <w:unhideWhenUsed/>
    <w:rsid w:val="00DC2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han</dc:creator>
  <cp:lastModifiedBy>Vu Ngoc Anh</cp:lastModifiedBy>
  <cp:revision>2</cp:revision>
  <cp:lastPrinted>2017-07-24T03:29:00Z</cp:lastPrinted>
  <dcterms:created xsi:type="dcterms:W3CDTF">2017-08-07T07:29:00Z</dcterms:created>
  <dcterms:modified xsi:type="dcterms:W3CDTF">2017-08-07T07:29:00Z</dcterms:modified>
</cp:coreProperties>
</file>